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39" w:lineRule="auto"/>
        <w:ind w:left="845" w:leftChars="0" w:hanging="845" w:hangingChars="263"/>
        <w:jc w:val="center"/>
        <w:rPr>
          <w:rFonts w:ascii="华文中宋" w:hAnsi="华文中宋" w:eastAsia="华文中宋"/>
          <w:b/>
          <w:sz w:val="32"/>
          <w:szCs w:val="32"/>
        </w:rPr>
      </w:pPr>
      <w:r>
        <w:rPr>
          <w:rFonts w:hint="eastAsia" w:ascii="黑体" w:hAnsi="黑体" w:eastAsia="黑体" w:cs="黑体"/>
          <w:b/>
          <w:sz w:val="32"/>
          <w:szCs w:val="32"/>
          <w:lang w:eastAsia="zh-CN"/>
        </w:rPr>
        <w:t>交易商</w:t>
      </w:r>
      <w:r>
        <w:rPr>
          <w:rFonts w:hint="eastAsia" w:ascii="黑体" w:hAnsi="黑体" w:eastAsia="黑体" w:cs="黑体"/>
          <w:b/>
          <w:sz w:val="32"/>
          <w:szCs w:val="32"/>
        </w:rPr>
        <w:t>风险</w:t>
      </w:r>
      <w:r>
        <w:rPr>
          <w:rFonts w:hint="eastAsia" w:ascii="黑体" w:hAnsi="黑体" w:eastAsia="黑体" w:cs="黑体"/>
          <w:b/>
          <w:sz w:val="32"/>
          <w:szCs w:val="32"/>
          <w:lang w:eastAsia="zh-CN"/>
        </w:rPr>
        <w:t>告知</w:t>
      </w:r>
      <w:r>
        <w:rPr>
          <w:rFonts w:hint="eastAsia" w:ascii="黑体" w:hAnsi="黑体" w:eastAsia="黑体" w:cs="黑体"/>
          <w:b/>
          <w:sz w:val="32"/>
          <w:szCs w:val="32"/>
        </w:rPr>
        <w:t>书</w:t>
      </w:r>
    </w:p>
    <w:p>
      <w:pPr>
        <w:spacing w:line="200" w:lineRule="exact"/>
        <w:rPr>
          <w:rFonts w:ascii="Times New Roman" w:hAnsi="Times New Roman" w:eastAsia="Times New Roman"/>
        </w:rPr>
      </w:pPr>
    </w:p>
    <w:p>
      <w:pPr>
        <w:spacing w:line="284" w:lineRule="exact"/>
        <w:rPr>
          <w:rFonts w:ascii="Times New Roman" w:hAnsi="Times New Roman" w:eastAsia="Times New Roman"/>
        </w:rPr>
      </w:pP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jc w:val="left"/>
        <w:textAlignment w:val="auto"/>
        <w:outlineLvl w:val="9"/>
        <w:rPr>
          <w:rFonts w:hint="eastAsia" w:ascii="仿宋" w:hAnsi="仿宋" w:eastAsia="仿宋" w:cs="仿宋"/>
          <w:b/>
          <w:bCs/>
          <w:kern w:val="0"/>
          <w:sz w:val="24"/>
          <w:szCs w:val="24"/>
          <w:lang w:eastAsia="zh-CN"/>
        </w:rPr>
      </w:pPr>
      <w:r>
        <w:rPr>
          <w:rFonts w:hint="eastAsia" w:ascii="仿宋" w:hAnsi="仿宋" w:eastAsia="仿宋" w:cs="仿宋"/>
          <w:b/>
          <w:bCs/>
          <w:kern w:val="0"/>
          <w:sz w:val="24"/>
          <w:szCs w:val="24"/>
          <w:lang w:eastAsia="zh-CN"/>
        </w:rPr>
        <w:t>尊敬的交易商：</w:t>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82" w:firstLineChars="200"/>
        <w:jc w:val="left"/>
        <w:textAlignment w:val="auto"/>
        <w:outlineLvl w:val="9"/>
        <w:rPr>
          <w:rFonts w:hint="eastAsia" w:ascii="仿宋" w:hAnsi="仿宋" w:eastAsia="仿宋" w:cs="仿宋"/>
          <w:b/>
          <w:bCs/>
          <w:kern w:val="0"/>
          <w:sz w:val="24"/>
          <w:szCs w:val="24"/>
        </w:rPr>
      </w:pPr>
      <w:r>
        <w:rPr>
          <w:rFonts w:hint="eastAsia" w:ascii="仿宋" w:hAnsi="仿宋" w:eastAsia="仿宋" w:cs="仿宋"/>
          <w:b/>
          <w:bCs/>
          <w:kern w:val="0"/>
          <w:sz w:val="24"/>
          <w:szCs w:val="24"/>
        </w:rPr>
        <w:t>您好</w:t>
      </w:r>
      <w:r>
        <w:rPr>
          <w:rFonts w:hint="eastAsia" w:ascii="仿宋" w:hAnsi="仿宋" w:eastAsia="仿宋" w:cs="仿宋"/>
          <w:b/>
          <w:bCs/>
          <w:kern w:val="0"/>
          <w:sz w:val="24"/>
          <w:szCs w:val="24"/>
          <w:lang w:eastAsia="zh-CN"/>
        </w:rPr>
        <w:t>！</w:t>
      </w:r>
      <w:r>
        <w:rPr>
          <w:rFonts w:hint="eastAsia" w:ascii="仿宋" w:hAnsi="仿宋" w:eastAsia="仿宋" w:cs="仿宋"/>
          <w:b/>
          <w:bCs/>
          <w:kern w:val="0"/>
          <w:sz w:val="24"/>
          <w:szCs w:val="24"/>
        </w:rPr>
        <w:t>请您仔细阅读本《风险告知书》的内容，您需要理解本《风险告知书》后方可在山东铝谷大宗商品交易中心开户和参与交易。</w:t>
      </w:r>
      <w:r>
        <w:rPr>
          <w:rFonts w:hint="eastAsia" w:ascii="仿宋" w:hAnsi="仿宋" w:eastAsia="仿宋" w:cs="仿宋"/>
          <w:b/>
          <w:bCs/>
          <w:kern w:val="0"/>
          <w:sz w:val="24"/>
          <w:szCs w:val="24"/>
        </w:rPr>
        <w:br w:type="textWrapping"/>
      </w:r>
      <w:r>
        <w:rPr>
          <w:rFonts w:hint="eastAsia" w:ascii="仿宋" w:hAnsi="仿宋" w:eastAsia="仿宋" w:cs="仿宋"/>
          <w:b/>
          <w:bCs/>
          <w:kern w:val="0"/>
          <w:sz w:val="24"/>
          <w:szCs w:val="24"/>
        </w:rPr>
        <w:t>　　大宗商品交易是有风险的，您的投资可能会有损失，甚至可能超过初始投资额。因此，请您慎重考虑自身财务状况和风险承受能力。在进行交易之前，请您明确以下内容：</w:t>
      </w:r>
      <w:r>
        <w:rPr>
          <w:rFonts w:hint="eastAsia" w:ascii="仿宋" w:hAnsi="仿宋" w:eastAsia="仿宋" w:cs="仿宋"/>
          <w:b/>
          <w:bCs/>
          <w:kern w:val="0"/>
          <w:sz w:val="24"/>
          <w:szCs w:val="24"/>
        </w:rPr>
        <w:br w:type="textWrapping"/>
      </w:r>
      <w:r>
        <w:rPr>
          <w:rFonts w:hint="eastAsia" w:ascii="仿宋" w:hAnsi="仿宋" w:eastAsia="仿宋" w:cs="仿宋"/>
          <w:b/>
          <w:bCs/>
          <w:kern w:val="0"/>
          <w:sz w:val="24"/>
          <w:szCs w:val="24"/>
        </w:rPr>
        <w:t>　　一、您必须认真阅读并遵守山东铝谷大宗商品交易中心的相关规则，如果您无法满足交易</w:t>
      </w:r>
      <w:r>
        <w:rPr>
          <w:rFonts w:hint="eastAsia" w:ascii="仿宋" w:hAnsi="仿宋" w:eastAsia="仿宋" w:cs="仿宋"/>
          <w:b/>
          <w:bCs/>
          <w:kern w:val="0"/>
          <w:sz w:val="24"/>
          <w:szCs w:val="24"/>
          <w:lang w:eastAsia="zh-CN"/>
        </w:rPr>
        <w:t>中心</w:t>
      </w:r>
      <w:r>
        <w:rPr>
          <w:rFonts w:hint="eastAsia" w:ascii="仿宋" w:hAnsi="仿宋" w:eastAsia="仿宋" w:cs="仿宋"/>
          <w:b/>
          <w:bCs/>
          <w:kern w:val="0"/>
          <w:sz w:val="24"/>
          <w:szCs w:val="24"/>
        </w:rPr>
        <w:t>相关规则的要求，您将承担由此产生的后果。</w:t>
      </w:r>
      <w:r>
        <w:rPr>
          <w:rFonts w:hint="eastAsia" w:ascii="仿宋" w:hAnsi="仿宋" w:eastAsia="仿宋" w:cs="仿宋"/>
          <w:b/>
          <w:bCs/>
          <w:kern w:val="0"/>
          <w:sz w:val="24"/>
          <w:szCs w:val="24"/>
        </w:rPr>
        <w:br w:type="textWrapping"/>
      </w:r>
      <w:r>
        <w:rPr>
          <w:rFonts w:hint="eastAsia" w:ascii="仿宋" w:hAnsi="仿宋" w:eastAsia="仿宋" w:cs="仿宋"/>
          <w:b/>
          <w:bCs/>
          <w:kern w:val="0"/>
          <w:sz w:val="24"/>
          <w:szCs w:val="24"/>
        </w:rPr>
        <w:t>　　二、由于国家法律法规及政策的变化、山东铝谷大宗商品交易中心相关规则的修改、紧急措施的出台等原因，您</w:t>
      </w:r>
      <w:r>
        <w:rPr>
          <w:rFonts w:hint="eastAsia" w:ascii="仿宋" w:hAnsi="仿宋" w:eastAsia="仿宋" w:cs="仿宋"/>
          <w:b/>
          <w:bCs/>
          <w:kern w:val="0"/>
          <w:sz w:val="24"/>
          <w:szCs w:val="24"/>
          <w:lang w:eastAsia="zh-CN"/>
        </w:rPr>
        <w:t>享</w:t>
      </w:r>
      <w:r>
        <w:rPr>
          <w:rFonts w:hint="eastAsia" w:ascii="仿宋" w:hAnsi="仿宋" w:eastAsia="仿宋" w:cs="仿宋"/>
          <w:b/>
          <w:bCs/>
          <w:kern w:val="0"/>
          <w:sz w:val="24"/>
          <w:szCs w:val="24"/>
        </w:rPr>
        <w:t>有的购销商品可能无法继续</w:t>
      </w:r>
      <w:r>
        <w:rPr>
          <w:rFonts w:hint="eastAsia" w:ascii="仿宋" w:hAnsi="仿宋" w:eastAsia="仿宋" w:cs="仿宋"/>
          <w:b/>
          <w:bCs/>
          <w:kern w:val="0"/>
          <w:sz w:val="24"/>
          <w:szCs w:val="24"/>
          <w:lang w:eastAsia="zh-CN"/>
        </w:rPr>
        <w:t>享有</w:t>
      </w:r>
      <w:r>
        <w:rPr>
          <w:rFonts w:hint="eastAsia" w:ascii="仿宋" w:hAnsi="仿宋" w:eastAsia="仿宋" w:cs="仿宋"/>
          <w:b/>
          <w:bCs/>
          <w:kern w:val="0"/>
          <w:sz w:val="24"/>
          <w:szCs w:val="24"/>
        </w:rPr>
        <w:t>，您将承担由此导致的损失。</w:t>
      </w:r>
      <w:r>
        <w:rPr>
          <w:rFonts w:hint="eastAsia" w:ascii="仿宋" w:hAnsi="仿宋" w:eastAsia="仿宋" w:cs="仿宋"/>
          <w:b/>
          <w:bCs/>
          <w:kern w:val="0"/>
          <w:sz w:val="24"/>
          <w:szCs w:val="24"/>
        </w:rPr>
        <w:br w:type="textWrapping"/>
      </w:r>
      <w:r>
        <w:rPr>
          <w:rFonts w:hint="eastAsia" w:ascii="仿宋" w:hAnsi="仿宋" w:eastAsia="仿宋" w:cs="仿宋"/>
          <w:b/>
          <w:bCs/>
          <w:kern w:val="0"/>
          <w:sz w:val="24"/>
          <w:szCs w:val="24"/>
        </w:rPr>
        <w:t>　　三、在不符合交易条件或交易规则规定的特殊情形下，您可能无法买入或卖出商品。出现这类情况，您的交易资金有可能无法弥补全部损失，您将承担由此导致的全部损失。</w:t>
      </w:r>
      <w:r>
        <w:rPr>
          <w:rFonts w:hint="eastAsia" w:ascii="仿宋" w:hAnsi="仿宋" w:eastAsia="仿宋" w:cs="仿宋"/>
          <w:b/>
          <w:bCs/>
          <w:kern w:val="0"/>
          <w:sz w:val="24"/>
          <w:szCs w:val="24"/>
        </w:rPr>
        <w:br w:type="textWrapping"/>
      </w:r>
      <w:r>
        <w:rPr>
          <w:rFonts w:hint="eastAsia" w:ascii="仿宋" w:hAnsi="仿宋" w:eastAsia="仿宋" w:cs="仿宋"/>
          <w:b/>
          <w:bCs/>
          <w:kern w:val="0"/>
          <w:sz w:val="24"/>
          <w:szCs w:val="24"/>
        </w:rPr>
        <w:t>　　四、由于地震、水灾、火灾等不可抗力因素或者计算机系统、通讯系统故障等山东铝谷大宗商品交易中心不能预见</w:t>
      </w:r>
      <w:r>
        <w:rPr>
          <w:rFonts w:hint="eastAsia" w:ascii="仿宋" w:hAnsi="仿宋" w:eastAsia="仿宋" w:cs="仿宋"/>
          <w:b/>
          <w:bCs/>
          <w:kern w:val="0"/>
          <w:sz w:val="24"/>
          <w:szCs w:val="24"/>
          <w:lang w:eastAsia="zh-CN"/>
        </w:rPr>
        <w:t>的</w:t>
      </w:r>
      <w:bookmarkStart w:id="0" w:name="_GoBack"/>
      <w:bookmarkEnd w:id="0"/>
      <w:r>
        <w:rPr>
          <w:rFonts w:hint="eastAsia" w:ascii="仿宋" w:hAnsi="仿宋" w:eastAsia="仿宋" w:cs="仿宋"/>
          <w:b/>
          <w:bCs/>
          <w:kern w:val="0"/>
          <w:sz w:val="24"/>
          <w:szCs w:val="24"/>
        </w:rPr>
        <w:t>原因，可能造成您的指令无法成交或者无法全部成交，您将承担由此导致的损失。</w:t>
      </w:r>
      <w:r>
        <w:rPr>
          <w:rFonts w:hint="eastAsia" w:ascii="仿宋" w:hAnsi="仿宋" w:eastAsia="仿宋" w:cs="仿宋"/>
          <w:b/>
          <w:bCs/>
          <w:kern w:val="0"/>
          <w:sz w:val="24"/>
          <w:szCs w:val="24"/>
        </w:rPr>
        <w:br w:type="textWrapping"/>
      </w:r>
      <w:r>
        <w:rPr>
          <w:rFonts w:hint="eastAsia" w:ascii="仿宋" w:hAnsi="仿宋" w:eastAsia="仿宋" w:cs="仿宋"/>
          <w:b/>
          <w:bCs/>
          <w:kern w:val="0"/>
          <w:sz w:val="24"/>
          <w:szCs w:val="24"/>
        </w:rPr>
        <w:t>　　五、利用网络进行大宗商品交易时将存在(包括但不限于)以下风险，您将承担由此导致的损失：</w:t>
      </w:r>
      <w:r>
        <w:rPr>
          <w:rFonts w:hint="eastAsia" w:ascii="仿宋" w:hAnsi="仿宋" w:eastAsia="仿宋" w:cs="仿宋"/>
          <w:b/>
          <w:bCs/>
          <w:kern w:val="0"/>
          <w:sz w:val="24"/>
          <w:szCs w:val="24"/>
        </w:rPr>
        <w:br w:type="textWrapping"/>
      </w:r>
      <w:r>
        <w:rPr>
          <w:rFonts w:hint="eastAsia" w:ascii="仿宋" w:hAnsi="仿宋" w:eastAsia="仿宋" w:cs="仿宋"/>
          <w:b/>
          <w:bCs/>
          <w:kern w:val="0"/>
          <w:sz w:val="24"/>
          <w:szCs w:val="24"/>
        </w:rPr>
        <w:t>　　1．如果您缺乏网上交易经验，可能因操作不当造成交易失败或交易失误；</w:t>
      </w:r>
      <w:r>
        <w:rPr>
          <w:rFonts w:hint="eastAsia" w:ascii="仿宋" w:hAnsi="仿宋" w:eastAsia="仿宋" w:cs="仿宋"/>
          <w:b/>
          <w:bCs/>
          <w:kern w:val="0"/>
          <w:sz w:val="24"/>
          <w:szCs w:val="24"/>
        </w:rPr>
        <w:br w:type="textWrapping"/>
      </w:r>
      <w:r>
        <w:rPr>
          <w:rFonts w:hint="eastAsia" w:ascii="仿宋" w:hAnsi="仿宋" w:eastAsia="仿宋" w:cs="仿宋"/>
          <w:b/>
          <w:bCs/>
          <w:kern w:val="0"/>
          <w:sz w:val="24"/>
          <w:szCs w:val="24"/>
        </w:rPr>
        <w:t>　　2．您的交易密码丢失或被他人盗用；</w:t>
      </w:r>
      <w:r>
        <w:rPr>
          <w:rFonts w:hint="eastAsia" w:ascii="仿宋" w:hAnsi="仿宋" w:eastAsia="仿宋" w:cs="仿宋"/>
          <w:b/>
          <w:bCs/>
          <w:kern w:val="0"/>
          <w:sz w:val="24"/>
          <w:szCs w:val="24"/>
        </w:rPr>
        <w:br w:type="textWrapping"/>
      </w:r>
      <w:r>
        <w:rPr>
          <w:rFonts w:hint="eastAsia" w:ascii="仿宋" w:hAnsi="仿宋" w:eastAsia="仿宋" w:cs="仿宋"/>
          <w:b/>
          <w:bCs/>
          <w:kern w:val="0"/>
          <w:sz w:val="24"/>
          <w:szCs w:val="24"/>
        </w:rPr>
        <w:t>　　3．由于无法控制和不可预测的系统故障、设备故障、通讯故障、电力故障、网络故障等因素，可能导致系统非正常运行甚至瘫痪，使您的交易指令出现延迟、中断、数据错误等情况；</w:t>
      </w:r>
      <w:r>
        <w:rPr>
          <w:rFonts w:hint="eastAsia" w:ascii="仿宋" w:hAnsi="仿宋" w:eastAsia="仿宋" w:cs="仿宋"/>
          <w:b/>
          <w:bCs/>
          <w:kern w:val="0"/>
          <w:sz w:val="24"/>
          <w:szCs w:val="24"/>
        </w:rPr>
        <w:br w:type="textWrapping"/>
      </w:r>
      <w:r>
        <w:rPr>
          <w:rFonts w:hint="eastAsia" w:ascii="仿宋" w:hAnsi="仿宋" w:eastAsia="仿宋" w:cs="仿宋"/>
          <w:b/>
          <w:bCs/>
          <w:kern w:val="0"/>
          <w:sz w:val="24"/>
          <w:szCs w:val="24"/>
        </w:rPr>
        <w:t>　　4．由于网上交易系统存在被网络黑客和计算机病毒攻击的可能性，由此可能导致系统故障，使交易无法进行及行情信息出现错误或延迟；</w:t>
      </w:r>
      <w:r>
        <w:rPr>
          <w:rFonts w:hint="eastAsia" w:ascii="仿宋" w:hAnsi="仿宋" w:eastAsia="仿宋" w:cs="仿宋"/>
          <w:b/>
          <w:bCs/>
          <w:kern w:val="0"/>
          <w:sz w:val="24"/>
          <w:szCs w:val="24"/>
        </w:rPr>
        <w:br w:type="textWrapping"/>
      </w:r>
      <w:r>
        <w:rPr>
          <w:rFonts w:hint="eastAsia" w:ascii="仿宋" w:hAnsi="仿宋" w:eastAsia="仿宋" w:cs="仿宋"/>
          <w:b/>
          <w:bCs/>
          <w:kern w:val="0"/>
          <w:sz w:val="24"/>
          <w:szCs w:val="24"/>
        </w:rPr>
        <w:t>　　5．互联网上的数据传输可能因通信繁忙等原因出现延迟、中断、数据错误或不完全，从而使网上交易出现延迟、中断等异常情形。</w:t>
      </w:r>
      <w:r>
        <w:rPr>
          <w:rFonts w:hint="eastAsia" w:ascii="仿宋" w:hAnsi="仿宋" w:eastAsia="仿宋" w:cs="仿宋"/>
          <w:b/>
          <w:bCs/>
          <w:kern w:val="0"/>
          <w:sz w:val="24"/>
          <w:szCs w:val="24"/>
        </w:rPr>
        <w:br w:type="textWrapping"/>
      </w:r>
      <w:r>
        <w:rPr>
          <w:rFonts w:hint="eastAsia" w:ascii="仿宋" w:hAnsi="仿宋" w:eastAsia="仿宋" w:cs="仿宋"/>
          <w:b/>
          <w:bCs/>
          <w:kern w:val="0"/>
          <w:sz w:val="24"/>
          <w:szCs w:val="24"/>
        </w:rPr>
        <w:t>　　本《风险告知书》无法揭示从事大宗商品交易的所有风险和有关山东铝谷大宗商品交易中心交易市场的全部无法控制和不可预测的情形。请您在入市交易之前，全面了解</w:t>
      </w:r>
      <w:r>
        <w:rPr>
          <w:rFonts w:hint="eastAsia" w:ascii="仿宋" w:hAnsi="仿宋" w:eastAsia="仿宋" w:cs="仿宋"/>
          <w:b/>
          <w:bCs/>
          <w:kern w:val="0"/>
          <w:sz w:val="24"/>
          <w:szCs w:val="24"/>
          <w:lang w:eastAsia="zh-CN"/>
        </w:rPr>
        <w:t>交易中心</w:t>
      </w:r>
      <w:r>
        <w:rPr>
          <w:rFonts w:hint="eastAsia" w:ascii="仿宋" w:hAnsi="仿宋" w:eastAsia="仿宋" w:cs="仿宋"/>
          <w:b/>
          <w:bCs/>
          <w:kern w:val="0"/>
          <w:sz w:val="24"/>
          <w:szCs w:val="24"/>
        </w:rPr>
        <w:t xml:space="preserve">的相关规则及规定，对自身的经济承受能力、风险控制能力、身体及心理承受能力作出客观评估。 </w:t>
      </w:r>
    </w:p>
    <w:p>
      <w:pPr>
        <w:spacing w:line="38" w:lineRule="exact"/>
        <w:rPr>
          <w:rFonts w:hint="eastAsia" w:ascii="仿宋" w:hAnsi="仿宋" w:eastAsia="仿宋" w:cs="仿宋"/>
          <w:b/>
          <w:bCs/>
          <w:sz w:val="24"/>
          <w:szCs w:val="24"/>
        </w:rPr>
      </w:pPr>
    </w:p>
    <w:p>
      <w:pPr>
        <w:keepNext w:val="0"/>
        <w:keepLines w:val="0"/>
        <w:pageBreakBefore w:val="0"/>
        <w:widowControl/>
        <w:kinsoku/>
        <w:wordWrap/>
        <w:overflowPunct/>
        <w:topLinePunct w:val="0"/>
        <w:autoSpaceDE/>
        <w:autoSpaceDN/>
        <w:bidi w:val="0"/>
        <w:adjustRightInd/>
        <w:snapToGrid/>
        <w:spacing w:line="360" w:lineRule="auto"/>
        <w:ind w:left="0" w:leftChars="0" w:right="80" w:firstLine="482" w:firstLineChars="200"/>
        <w:jc w:val="both"/>
        <w:textAlignment w:val="auto"/>
        <w:outlineLvl w:val="9"/>
        <w:rPr>
          <w:rFonts w:hint="eastAsia" w:ascii="仿宋" w:hAnsi="仿宋" w:eastAsia="仿宋" w:cs="仿宋"/>
          <w:b/>
          <w:bCs/>
          <w:sz w:val="24"/>
          <w:szCs w:val="24"/>
        </w:rPr>
      </w:pPr>
      <w:r>
        <w:rPr>
          <w:rFonts w:hint="eastAsia" w:ascii="仿宋" w:hAnsi="仿宋" w:eastAsia="仿宋" w:cs="仿宋"/>
          <w:b/>
          <w:bCs/>
          <w:sz w:val="24"/>
          <w:szCs w:val="24"/>
          <w:lang w:eastAsia="zh-CN"/>
        </w:rPr>
        <w:t>本交易商</w:t>
      </w:r>
      <w:r>
        <w:rPr>
          <w:rFonts w:hint="eastAsia" w:ascii="仿宋" w:hAnsi="仿宋" w:eastAsia="仿宋" w:cs="仿宋"/>
          <w:b/>
          <w:bCs/>
          <w:sz w:val="24"/>
          <w:szCs w:val="24"/>
        </w:rPr>
        <w:t>已认真阅读本风险</w:t>
      </w:r>
      <w:r>
        <w:rPr>
          <w:rFonts w:hint="eastAsia" w:ascii="仿宋" w:hAnsi="仿宋" w:eastAsia="仿宋" w:cs="仿宋"/>
          <w:b/>
          <w:bCs/>
          <w:sz w:val="24"/>
          <w:szCs w:val="24"/>
          <w:lang w:eastAsia="zh-CN"/>
        </w:rPr>
        <w:t>告知</w:t>
      </w:r>
      <w:r>
        <w:rPr>
          <w:rFonts w:hint="eastAsia" w:ascii="仿宋" w:hAnsi="仿宋" w:eastAsia="仿宋" w:cs="仿宋"/>
          <w:b/>
          <w:bCs/>
          <w:sz w:val="24"/>
          <w:szCs w:val="24"/>
        </w:rPr>
        <w:t>书，并充分理解所</w:t>
      </w:r>
      <w:r>
        <w:rPr>
          <w:rFonts w:hint="eastAsia" w:ascii="仿宋" w:hAnsi="仿宋" w:eastAsia="仿宋" w:cs="仿宋"/>
          <w:b/>
          <w:bCs/>
          <w:sz w:val="24"/>
          <w:szCs w:val="24"/>
          <w:lang w:eastAsia="zh-CN"/>
        </w:rPr>
        <w:t>告知</w:t>
      </w:r>
      <w:r>
        <w:rPr>
          <w:rFonts w:hint="eastAsia" w:ascii="仿宋" w:hAnsi="仿宋" w:eastAsia="仿宋" w:cs="仿宋"/>
          <w:b/>
          <w:bCs/>
          <w:sz w:val="24"/>
          <w:szCs w:val="24"/>
        </w:rPr>
        <w:t>的风险，自愿承担投资风险造成的损失。（请在横线上抄写）</w:t>
      </w:r>
    </w:p>
    <w:p>
      <w:pPr>
        <w:keepNext w:val="0"/>
        <w:keepLines w:val="0"/>
        <w:pageBreakBefore w:val="0"/>
        <w:widowControl/>
        <w:kinsoku/>
        <w:wordWrap/>
        <w:overflowPunct/>
        <w:topLinePunct w:val="0"/>
        <w:autoSpaceDE/>
        <w:autoSpaceDN/>
        <w:bidi w:val="0"/>
        <w:adjustRightInd/>
        <w:snapToGrid/>
        <w:spacing w:line="360" w:lineRule="auto"/>
        <w:ind w:left="360"/>
        <w:textAlignment w:val="auto"/>
        <w:outlineLvl w:val="9"/>
        <w:rPr>
          <w:rFonts w:hint="eastAsia" w:ascii="仿宋" w:hAnsi="仿宋" w:eastAsia="仿宋" w:cs="仿宋"/>
          <w:b/>
          <w:sz w:val="24"/>
          <w:szCs w:val="24"/>
        </w:rPr>
      </w:pPr>
    </w:p>
    <w:p>
      <w:pPr>
        <w:keepNext w:val="0"/>
        <w:keepLines w:val="0"/>
        <w:pageBreakBefore w:val="0"/>
        <w:widowControl/>
        <w:kinsoku/>
        <w:wordWrap/>
        <w:overflowPunct/>
        <w:topLinePunct w:val="0"/>
        <w:autoSpaceDE/>
        <w:autoSpaceDN/>
        <w:bidi w:val="0"/>
        <w:adjustRightInd/>
        <w:snapToGrid/>
        <w:spacing w:line="360" w:lineRule="auto"/>
        <w:ind w:left="360" w:leftChars="0" w:firstLine="208" w:firstLineChars="87"/>
        <w:textAlignment w:val="auto"/>
        <w:outlineLvl w:val="9"/>
        <w:rPr>
          <w:rFonts w:hint="eastAsia" w:ascii="仿宋" w:hAnsi="仿宋" w:eastAsia="仿宋" w:cs="仿宋"/>
          <w:b/>
          <w:sz w:val="24"/>
          <w:szCs w:val="24"/>
          <w:lang w:eastAsia="zh-CN"/>
        </w:rPr>
      </w:pPr>
      <w:r>
        <w:rPr>
          <w:sz w:val="24"/>
          <w:szCs w:val="24"/>
        </w:rPr>
        <mc:AlternateContent>
          <mc:Choice Requires="wps">
            <w:drawing>
              <wp:anchor distT="0" distB="0" distL="114300" distR="114300" simplePos="0" relativeHeight="251658240" behindDoc="0" locked="0" layoutInCell="1" allowOverlap="1">
                <wp:simplePos x="0" y="0"/>
                <wp:positionH relativeFrom="column">
                  <wp:posOffset>979805</wp:posOffset>
                </wp:positionH>
                <wp:positionV relativeFrom="paragraph">
                  <wp:posOffset>261620</wp:posOffset>
                </wp:positionV>
                <wp:extent cx="4295775" cy="0"/>
                <wp:effectExtent l="0" t="0" r="0" b="0"/>
                <wp:wrapNone/>
                <wp:docPr id="1" name="直接连接符 1"/>
                <wp:cNvGraphicFramePr/>
                <a:graphic xmlns:a="http://schemas.openxmlformats.org/drawingml/2006/main">
                  <a:graphicData uri="http://schemas.microsoft.com/office/word/2010/wordprocessingShape">
                    <wps:wsp>
                      <wps:cNvCnPr/>
                      <wps:spPr>
                        <a:xfrm>
                          <a:off x="2389505" y="2374265"/>
                          <a:ext cx="42957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77.15pt;margin-top:20.6pt;height:0pt;width:338.25pt;z-index:251658240;mso-width-relative:page;mso-height-relative:page;" filled="f" stroked="t" coordsize="21600,21600" o:gfxdata="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DC99R9YAAAAJAQAADwAAAAAAAAABACAA&#10;AAAiAAAAZHJzL2Rvd25yZXYueG1sUEsBAhQAFAAAAAgAh07iQBD/WOnWAQAAbwMAAA4AAAAAAAAA&#10;AQAgAAAAJQEAAGRycy9lMm9Eb2MueG1sUEsFBgAAAAAGAAYAWQEAAG0FAAAAAA==&#10;">
                <v:fill on="f" focussize="0,0"/>
                <v:stroke weight="0.5pt" color="#000000 [3213]" miterlimit="8" joinstyle="miter"/>
                <v:imagedata o:title=""/>
                <o:lock v:ext="edit" aspectratio="f"/>
              </v:line>
            </w:pict>
          </mc:Fallback>
        </mc:AlternateContent>
      </w:r>
      <w:r>
        <w:rPr>
          <w:rFonts w:hint="eastAsia" w:ascii="仿宋" w:hAnsi="仿宋" w:eastAsia="仿宋" w:cs="仿宋"/>
          <w:b/>
          <w:sz w:val="24"/>
          <w:szCs w:val="24"/>
        </w:rPr>
        <w:t>本</w:t>
      </w:r>
      <w:r>
        <w:rPr>
          <w:rFonts w:hint="eastAsia" w:ascii="仿宋" w:hAnsi="仿宋" w:eastAsia="仿宋" w:cs="仿宋"/>
          <w:b/>
          <w:sz w:val="24"/>
          <w:szCs w:val="24"/>
          <w:lang w:eastAsia="zh-CN"/>
        </w:rPr>
        <w:t>交易商</w:t>
      </w:r>
    </w:p>
    <w:p>
      <w:pPr>
        <w:keepNext w:val="0"/>
        <w:keepLines w:val="0"/>
        <w:pageBreakBefore w:val="0"/>
        <w:widowControl/>
        <w:kinsoku/>
        <w:wordWrap/>
        <w:overflowPunct/>
        <w:topLinePunct w:val="0"/>
        <w:autoSpaceDE/>
        <w:autoSpaceDN/>
        <w:bidi w:val="0"/>
        <w:adjustRightInd/>
        <w:snapToGrid/>
        <w:spacing w:line="360" w:lineRule="auto"/>
        <w:ind w:left="360" w:leftChars="0" w:firstLine="208" w:firstLineChars="87"/>
        <w:textAlignment w:val="auto"/>
        <w:outlineLvl w:val="9"/>
        <w:rPr>
          <w:rFonts w:hint="eastAsia" w:ascii="仿宋" w:hAnsi="仿宋" w:eastAsia="仿宋" w:cs="仿宋"/>
          <w:b/>
          <w:sz w:val="24"/>
          <w:szCs w:val="24"/>
          <w:lang w:val="en-US" w:eastAsia="zh-CN"/>
        </w:rPr>
      </w:pPr>
      <w:r>
        <w:rPr>
          <w:sz w:val="24"/>
          <w:szCs w:val="24"/>
        </w:rPr>
        <mc:AlternateContent>
          <mc:Choice Requires="wps">
            <w:drawing>
              <wp:anchor distT="0" distB="0" distL="114300" distR="114300" simplePos="0" relativeHeight="251659264" behindDoc="0" locked="0" layoutInCell="1" allowOverlap="1">
                <wp:simplePos x="0" y="0"/>
                <wp:positionH relativeFrom="column">
                  <wp:posOffset>36830</wp:posOffset>
                </wp:positionH>
                <wp:positionV relativeFrom="paragraph">
                  <wp:posOffset>255905</wp:posOffset>
                </wp:positionV>
                <wp:extent cx="5248275" cy="0"/>
                <wp:effectExtent l="0" t="0" r="0" b="0"/>
                <wp:wrapNone/>
                <wp:docPr id="2" name="直接连接符 2"/>
                <wp:cNvGraphicFramePr/>
                <a:graphic xmlns:a="http://schemas.openxmlformats.org/drawingml/2006/main">
                  <a:graphicData uri="http://schemas.microsoft.com/office/word/2010/wordprocessingShape">
                    <wps:wsp>
                      <wps:cNvCnPr/>
                      <wps:spPr>
                        <a:xfrm>
                          <a:off x="1560830" y="2755265"/>
                          <a:ext cx="52482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9pt;margin-top:20.15pt;height:0pt;width:413.25pt;z-index:251659264;mso-width-relative:page;mso-height-relative:page;" filled="f" stroked="t" coordsize="21600,21600" o:gfxdata="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Dx8SuA1AAAAAcBAAAPAAAAAAAAAAEAIAAAACIA&#10;AABkcnMvZG93bnJldi54bWxQSwECFAAUAAAACACHTuJAExu3/tQBAABvAwAADgAAAAAAAAABACAA&#10;AAAjAQAAZHJzL2Uyb0RvYy54bWxQSwUGAAAAAAYABgBZAQAAaQUAAAAA&#10;">
                <v:fill on="f" focussize="0,0"/>
                <v:stroke weight="0.5pt" color="#000000 [3213]" miterlimit="8" joinstyle="miter"/>
                <v:imagedata o:title=""/>
                <o:lock v:ext="edit" aspectratio="f"/>
              </v:line>
            </w:pict>
          </mc:Fallback>
        </mc:AlternateContent>
      </w:r>
    </w:p>
    <w:p>
      <w:pPr>
        <w:keepNext w:val="0"/>
        <w:keepLines w:val="0"/>
        <w:pageBreakBefore w:val="0"/>
        <w:widowControl/>
        <w:kinsoku/>
        <w:wordWrap/>
        <w:overflowPunct/>
        <w:topLinePunct w:val="0"/>
        <w:autoSpaceDE/>
        <w:autoSpaceDN/>
        <w:bidi w:val="0"/>
        <w:adjustRightInd/>
        <w:snapToGrid/>
        <w:spacing w:line="360" w:lineRule="auto"/>
        <w:ind w:left="360"/>
        <w:textAlignment w:val="auto"/>
        <w:outlineLvl w:val="9"/>
        <w:rPr>
          <w:rFonts w:hint="eastAsia" w:ascii="仿宋" w:hAnsi="仿宋" w:eastAsia="仿宋" w:cs="仿宋"/>
          <w:sz w:val="24"/>
          <w:szCs w:val="24"/>
        </w:rPr>
      </w:pPr>
    </w:p>
    <w:p>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仿宋" w:hAnsi="仿宋" w:eastAsia="仿宋" w:cs="仿宋"/>
          <w:sz w:val="24"/>
          <w:szCs w:val="24"/>
        </w:rPr>
      </w:pPr>
    </w:p>
    <w:p>
      <w:pPr>
        <w:spacing w:line="239" w:lineRule="auto"/>
        <w:ind w:left="5500"/>
        <w:rPr>
          <w:rFonts w:hint="eastAsia" w:ascii="仿宋" w:hAnsi="仿宋" w:eastAsia="仿宋" w:cs="仿宋"/>
          <w:sz w:val="24"/>
          <w:szCs w:val="24"/>
        </w:rPr>
      </w:pPr>
    </w:p>
    <w:p>
      <w:pPr>
        <w:spacing w:line="239" w:lineRule="auto"/>
        <w:ind w:left="0" w:leftChars="0" w:firstLine="4216" w:firstLineChars="1750"/>
        <w:rPr>
          <w:rFonts w:hint="eastAsia" w:ascii="仿宋" w:hAnsi="仿宋" w:eastAsia="仿宋" w:cs="仿宋"/>
          <w:b/>
          <w:bCs/>
          <w:sz w:val="24"/>
          <w:szCs w:val="24"/>
        </w:rPr>
      </w:pPr>
      <w:r>
        <w:rPr>
          <w:rFonts w:hint="eastAsia" w:ascii="仿宋" w:hAnsi="仿宋" w:eastAsia="仿宋" w:cs="仿宋"/>
          <w:b/>
          <w:bCs/>
          <w:sz w:val="24"/>
          <w:szCs w:val="24"/>
          <w:lang w:eastAsia="zh-CN"/>
        </w:rPr>
        <w:t>申请人</w:t>
      </w:r>
      <w:r>
        <w:rPr>
          <w:rFonts w:hint="eastAsia" w:ascii="仿宋" w:hAnsi="仿宋" w:eastAsia="仿宋" w:cs="仿宋"/>
          <w:b/>
          <w:bCs/>
          <w:sz w:val="24"/>
          <w:szCs w:val="24"/>
        </w:rPr>
        <w:t>签</w:t>
      </w:r>
      <w:r>
        <w:rPr>
          <w:rFonts w:hint="eastAsia" w:ascii="仿宋" w:hAnsi="仿宋" w:eastAsia="仿宋" w:cs="仿宋"/>
          <w:b/>
          <w:bCs/>
          <w:sz w:val="24"/>
          <w:szCs w:val="24"/>
          <w:lang w:eastAsia="zh-CN"/>
        </w:rPr>
        <w:t>字</w:t>
      </w:r>
      <w:r>
        <w:rPr>
          <w:rFonts w:hint="eastAsia" w:ascii="仿宋" w:hAnsi="仿宋" w:eastAsia="仿宋" w:cs="仿宋"/>
          <w:b/>
          <w:bCs/>
          <w:sz w:val="24"/>
          <w:szCs w:val="24"/>
        </w:rPr>
        <w:t>/盖章：</w:t>
      </w:r>
    </w:p>
    <w:p>
      <w:pPr>
        <w:spacing w:line="239" w:lineRule="auto"/>
        <w:rPr>
          <w:rFonts w:hint="eastAsia" w:ascii="仿宋" w:hAnsi="仿宋" w:eastAsia="仿宋" w:cs="仿宋"/>
          <w:b/>
          <w:bCs/>
          <w:sz w:val="24"/>
          <w:szCs w:val="24"/>
        </w:rPr>
      </w:pPr>
    </w:p>
    <w:p>
      <w:pPr>
        <w:spacing w:line="239" w:lineRule="auto"/>
        <w:ind w:left="5500"/>
        <w:rPr>
          <w:rFonts w:hint="eastAsia" w:ascii="仿宋" w:hAnsi="仿宋" w:eastAsia="仿宋" w:cs="仿宋"/>
          <w:b/>
          <w:bCs/>
          <w:sz w:val="24"/>
          <w:szCs w:val="24"/>
        </w:rPr>
      </w:pPr>
    </w:p>
    <w:p>
      <w:pPr>
        <w:spacing w:line="239" w:lineRule="auto"/>
        <w:ind w:left="0" w:leftChars="0" w:firstLine="4216" w:firstLineChars="1750"/>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年</w:t>
      </w:r>
      <w:r>
        <w:rPr>
          <w:rFonts w:hint="eastAsia" w:ascii="仿宋" w:hAnsi="仿宋" w:eastAsia="仿宋" w:cs="仿宋"/>
          <w:b/>
          <w:bCs/>
          <w:sz w:val="24"/>
          <w:szCs w:val="24"/>
          <w:lang w:val="en-US" w:eastAsia="zh-CN"/>
        </w:rPr>
        <w:t xml:space="preserve">    月    日</w:t>
      </w:r>
    </w:p>
    <w:p>
      <w:pPr>
        <w:spacing w:line="239" w:lineRule="auto"/>
        <w:ind w:left="5500"/>
        <w:rPr>
          <w:rFonts w:hint="eastAsia" w:asciiTheme="minorEastAsia" w:hAnsiTheme="minorEastAsia" w:eastAsiaTheme="minorEastAsia" w:cstheme="minorEastAsia"/>
          <w:sz w:val="28"/>
          <w:szCs w:val="28"/>
        </w:rPr>
      </w:pPr>
    </w:p>
    <w:p>
      <w:pPr>
        <w:spacing w:line="239" w:lineRule="auto"/>
        <w:ind w:left="5500"/>
        <w:rPr>
          <w:rFonts w:ascii="宋体" w:hAnsi="宋体" w:eastAsia="宋体"/>
          <w:sz w:val="24"/>
          <w:szCs w:val="24"/>
        </w:rPr>
      </w:pPr>
    </w:p>
    <w:p>
      <w:pPr>
        <w:tabs>
          <w:tab w:val="left" w:pos="7740"/>
          <w:tab w:val="left" w:pos="8380"/>
        </w:tabs>
        <w:spacing w:line="239" w:lineRule="auto"/>
        <w:ind w:firstLine="9600" w:firstLineChars="4000"/>
        <w:rPr>
          <w:rFonts w:ascii="宋体" w:hAnsi="宋体" w:eastAsia="宋体"/>
          <w:sz w:val="24"/>
          <w:szCs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Browallia New">
    <w:panose1 w:val="020B0604020202020204"/>
    <w:charset w:val="00"/>
    <w:family w:val="auto"/>
    <w:pitch w:val="default"/>
    <w:sig w:usb0="81000003" w:usb1="00000000" w:usb2="00000000" w:usb3="00000000" w:csb0="00010001" w:csb1="0000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3104BE"/>
    <w:rsid w:val="02F87146"/>
    <w:rsid w:val="0349071B"/>
    <w:rsid w:val="04034BE4"/>
    <w:rsid w:val="094940CF"/>
    <w:rsid w:val="09923157"/>
    <w:rsid w:val="0BD47D0C"/>
    <w:rsid w:val="0C9E5FB8"/>
    <w:rsid w:val="0CAD643D"/>
    <w:rsid w:val="0D401DD2"/>
    <w:rsid w:val="0DB9024F"/>
    <w:rsid w:val="0DCE4506"/>
    <w:rsid w:val="0E3C2DC1"/>
    <w:rsid w:val="0E776B7B"/>
    <w:rsid w:val="0ED9475E"/>
    <w:rsid w:val="103431B4"/>
    <w:rsid w:val="105626E6"/>
    <w:rsid w:val="129F2569"/>
    <w:rsid w:val="12ED418D"/>
    <w:rsid w:val="133A1E70"/>
    <w:rsid w:val="14624E26"/>
    <w:rsid w:val="155C564F"/>
    <w:rsid w:val="177C313A"/>
    <w:rsid w:val="1ABB1830"/>
    <w:rsid w:val="1C3679D0"/>
    <w:rsid w:val="1D3148E8"/>
    <w:rsid w:val="1E7C1162"/>
    <w:rsid w:val="1F255309"/>
    <w:rsid w:val="20B23D2D"/>
    <w:rsid w:val="20D635A9"/>
    <w:rsid w:val="2169594D"/>
    <w:rsid w:val="239C73E7"/>
    <w:rsid w:val="241C432C"/>
    <w:rsid w:val="24AF18EC"/>
    <w:rsid w:val="24D107E2"/>
    <w:rsid w:val="24F00FBA"/>
    <w:rsid w:val="25666B52"/>
    <w:rsid w:val="27134438"/>
    <w:rsid w:val="291B7FFB"/>
    <w:rsid w:val="2A975897"/>
    <w:rsid w:val="2B8A515F"/>
    <w:rsid w:val="2D591D23"/>
    <w:rsid w:val="3003387C"/>
    <w:rsid w:val="325E46FF"/>
    <w:rsid w:val="32707084"/>
    <w:rsid w:val="359A1DA5"/>
    <w:rsid w:val="37323AD0"/>
    <w:rsid w:val="382261F7"/>
    <w:rsid w:val="383113E1"/>
    <w:rsid w:val="38F01F0E"/>
    <w:rsid w:val="3B74770E"/>
    <w:rsid w:val="3E991D69"/>
    <w:rsid w:val="420E37CD"/>
    <w:rsid w:val="424A259F"/>
    <w:rsid w:val="45C8342A"/>
    <w:rsid w:val="47A0319E"/>
    <w:rsid w:val="487B661A"/>
    <w:rsid w:val="48EC03FA"/>
    <w:rsid w:val="48EC2BAA"/>
    <w:rsid w:val="4ABB1F5E"/>
    <w:rsid w:val="4B4616F7"/>
    <w:rsid w:val="4BD10658"/>
    <w:rsid w:val="4C9C418A"/>
    <w:rsid w:val="4D044859"/>
    <w:rsid w:val="4EAD0AD0"/>
    <w:rsid w:val="4FA3169E"/>
    <w:rsid w:val="50B31BE6"/>
    <w:rsid w:val="517F740C"/>
    <w:rsid w:val="533C3B20"/>
    <w:rsid w:val="53D05015"/>
    <w:rsid w:val="577D0AD1"/>
    <w:rsid w:val="57B969BD"/>
    <w:rsid w:val="57E85880"/>
    <w:rsid w:val="584B0C7D"/>
    <w:rsid w:val="58A65C7F"/>
    <w:rsid w:val="59CF0C41"/>
    <w:rsid w:val="5B136418"/>
    <w:rsid w:val="5B467A1E"/>
    <w:rsid w:val="5B6A2817"/>
    <w:rsid w:val="5BB829C6"/>
    <w:rsid w:val="5C053D7A"/>
    <w:rsid w:val="5C8D4502"/>
    <w:rsid w:val="5D21373A"/>
    <w:rsid w:val="5F6811AC"/>
    <w:rsid w:val="5FC427ED"/>
    <w:rsid w:val="62300293"/>
    <w:rsid w:val="637B47A8"/>
    <w:rsid w:val="65CF254C"/>
    <w:rsid w:val="667203B9"/>
    <w:rsid w:val="66D14CB2"/>
    <w:rsid w:val="67EC7AD0"/>
    <w:rsid w:val="684B1D4F"/>
    <w:rsid w:val="686655ED"/>
    <w:rsid w:val="69C50B23"/>
    <w:rsid w:val="69D4459A"/>
    <w:rsid w:val="6C2A2CF9"/>
    <w:rsid w:val="6D340159"/>
    <w:rsid w:val="711436D5"/>
    <w:rsid w:val="731D24D5"/>
    <w:rsid w:val="74E30D15"/>
    <w:rsid w:val="750B0546"/>
    <w:rsid w:val="76D21C9D"/>
    <w:rsid w:val="7AE71FB5"/>
    <w:rsid w:val="7B8727ED"/>
    <w:rsid w:val="7F214AA2"/>
    <w:rsid w:val="7F293F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sz w:val="21"/>
      <w:szCs w:val="22"/>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Sunshine</cp:lastModifiedBy>
  <cp:lastPrinted>2017-11-06T03:08:00Z</cp:lastPrinted>
  <dcterms:modified xsi:type="dcterms:W3CDTF">2017-11-09T08:11:53Z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