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sz w:val="20"/>
        </w:rPr>
      </w:pPr>
      <w:bookmarkStart w:id="0" w:name="_GoBack"/>
      <w:bookmarkEnd w:id="0"/>
    </w:p>
    <w:p>
      <w:pPr>
        <w:pStyle w:val="4"/>
        <w:spacing w:before="7"/>
        <w:rPr>
          <w:sz w:val="14"/>
        </w:rPr>
      </w:pPr>
    </w:p>
    <w:p>
      <w:pPr>
        <w:pStyle w:val="3"/>
        <w:tabs>
          <w:tab w:val="left" w:pos="660"/>
          <w:tab w:val="left" w:pos="1321"/>
          <w:tab w:val="left" w:pos="1980"/>
        </w:tabs>
        <w:spacing w:before="43"/>
        <w:ind w:left="0" w:right="158"/>
        <w:rPr>
          <w:rFonts w:hint="eastAsia" w:ascii="Arial Unicode MS" w:eastAsia="Arial Unicode MS"/>
        </w:rPr>
      </w:pPr>
      <w:r>
        <w:rPr>
          <w:rFonts w:hint="eastAsia" w:ascii="Arial Unicode MS" w:eastAsia="Arial Unicode MS"/>
        </w:rPr>
        <w:t>重</w:t>
      </w:r>
      <w:r>
        <w:rPr>
          <w:rFonts w:hint="eastAsia" w:ascii="Arial Unicode MS" w:eastAsia="Arial Unicode MS"/>
        </w:rPr>
        <w:tab/>
      </w:r>
      <w:r>
        <w:rPr>
          <w:rFonts w:hint="eastAsia" w:ascii="Arial Unicode MS" w:eastAsia="Arial Unicode MS"/>
        </w:rPr>
        <w:t>要</w:t>
      </w:r>
      <w:r>
        <w:rPr>
          <w:rFonts w:hint="eastAsia" w:ascii="Arial Unicode MS" w:eastAsia="Arial Unicode MS"/>
        </w:rPr>
        <w:tab/>
      </w:r>
      <w:r>
        <w:rPr>
          <w:rFonts w:hint="eastAsia" w:ascii="Arial Unicode MS" w:eastAsia="Arial Unicode MS"/>
        </w:rPr>
        <w:t>提</w:t>
      </w:r>
      <w:r>
        <w:rPr>
          <w:rFonts w:hint="eastAsia" w:ascii="Arial Unicode MS" w:eastAsia="Arial Unicode MS"/>
        </w:rPr>
        <w:tab/>
      </w:r>
      <w:r>
        <w:rPr>
          <w:rFonts w:hint="eastAsia" w:ascii="Arial Unicode MS" w:eastAsia="Arial Unicode MS"/>
        </w:rPr>
        <w:t>示</w:t>
      </w:r>
    </w:p>
    <w:p>
      <w:pPr>
        <w:pStyle w:val="4"/>
        <w:spacing w:before="396" w:line="364" w:lineRule="auto"/>
        <w:ind w:left="107" w:right="353" w:firstLine="639"/>
        <w:jc w:val="both"/>
        <w:rPr>
          <w:rFonts w:hint="eastAsia" w:ascii="仿宋" w:eastAsia="仿宋"/>
        </w:rPr>
      </w:pPr>
      <w:r>
        <w:rPr>
          <w:rFonts w:hint="eastAsia" w:ascii="仿宋" w:eastAsia="仿宋"/>
        </w:rPr>
        <w:t>为帮助我市工业企业更好应对疫情，顺利复工复产，市新型冠状病毒感染的肺炎疫情处置工作指挥部大数据专班为企业复工复产提供以下服务：</w:t>
      </w:r>
    </w:p>
    <w:p>
      <w:pPr>
        <w:pStyle w:val="4"/>
        <w:spacing w:before="1"/>
        <w:ind w:left="747"/>
        <w:rPr>
          <w:rFonts w:hint="eastAsia" w:ascii="黑体" w:eastAsia="黑体"/>
        </w:rPr>
      </w:pPr>
      <w:r>
        <w:rPr>
          <w:rFonts w:hint="eastAsia" w:ascii="黑体" w:eastAsia="黑体"/>
        </w:rPr>
        <w:t>一、向企业提供查询和短信推送服务</w:t>
      </w:r>
    </w:p>
    <w:p>
      <w:pPr>
        <w:pStyle w:val="4"/>
        <w:spacing w:before="214"/>
        <w:ind w:left="747"/>
      </w:pPr>
      <w:r>
        <w:t>（一）企业员工是否到过疫区筛查</w:t>
      </w:r>
    </w:p>
    <w:p>
      <w:pPr>
        <w:pStyle w:val="4"/>
        <w:spacing w:before="214" w:line="364" w:lineRule="auto"/>
        <w:ind w:left="107" w:right="262" w:firstLine="639"/>
        <w:jc w:val="both"/>
        <w:rPr>
          <w:rFonts w:hint="eastAsia" w:ascii="仿宋" w:eastAsia="仿宋"/>
        </w:rPr>
      </w:pPr>
      <w:r>
        <w:rPr>
          <w:rFonts w:hint="eastAsia" w:ascii="仿宋" w:eastAsia="仿宋"/>
        </w:rPr>
        <w:t>根据企业提供的手机号码，帮助企业疫情防控机构筛查员工近 15 天是否来自疫区或到过疫区。</w:t>
      </w:r>
    </w:p>
    <w:p>
      <w:pPr>
        <w:pStyle w:val="4"/>
        <w:spacing w:before="2"/>
        <w:ind w:left="747"/>
      </w:pPr>
      <w:r>
        <w:t>（二）向企业相关人员推送短信</w:t>
      </w:r>
    </w:p>
    <w:p>
      <w:pPr>
        <w:pStyle w:val="4"/>
        <w:spacing w:before="214" w:line="364" w:lineRule="auto"/>
        <w:ind w:left="107" w:right="34" w:firstLine="639"/>
        <w:rPr>
          <w:rFonts w:hint="eastAsia" w:ascii="仿宋" w:eastAsia="仿宋"/>
        </w:rPr>
      </w:pPr>
      <w:r>
        <w:rPr>
          <w:rFonts w:hint="eastAsia" w:ascii="仿宋" w:eastAsia="仿宋"/>
        </w:rPr>
        <w:t>面向企业聘请的有关人员，由大数据专班协调三大运营商， 发送来滨有关事项的短信。</w:t>
      </w:r>
    </w:p>
    <w:p>
      <w:pPr>
        <w:pStyle w:val="4"/>
        <w:spacing w:before="2" w:line="364" w:lineRule="auto"/>
        <w:ind w:left="107" w:right="192" w:firstLine="639"/>
        <w:rPr>
          <w:rFonts w:hint="eastAsia" w:ascii="仿宋" w:eastAsia="仿宋"/>
        </w:rPr>
      </w:pPr>
      <w:r>
        <w:rPr>
          <w:rFonts w:hint="eastAsia" w:ascii="仿宋" w:eastAsia="仿宋"/>
        </w:rPr>
        <w:t>服务流程：企业向县市区工信局、市属开发区经发局提报手机号码，县市区工信局、市属开发区经发局每天 16:00 前汇</w:t>
      </w:r>
    </w:p>
    <w:p>
      <w:pPr>
        <w:pStyle w:val="4"/>
        <w:spacing w:before="2" w:line="364" w:lineRule="auto"/>
        <w:ind w:left="107" w:right="194"/>
        <w:rPr>
          <w:rFonts w:hint="eastAsia" w:ascii="仿宋" w:eastAsia="仿宋"/>
        </w:rPr>
      </w:pPr>
      <w:r>
        <w:rPr>
          <w:rFonts w:hint="eastAsia" w:ascii="仿宋" w:eastAsia="仿宋"/>
        </w:rPr>
        <w:t>总上报市工业和信息化局，市工业和信息化局每天 17:00 前汇总提交大数据专班进行查询。</w:t>
      </w:r>
    </w:p>
    <w:p>
      <w:pPr>
        <w:pStyle w:val="4"/>
        <w:spacing w:before="2"/>
        <w:ind w:left="747"/>
        <w:rPr>
          <w:rFonts w:hint="eastAsia" w:ascii="仿宋" w:eastAsia="仿宋"/>
        </w:rPr>
      </w:pPr>
      <w:r>
        <w:rPr>
          <w:rFonts w:hint="eastAsia" w:ascii="仿宋" w:eastAsia="仿宋"/>
        </w:rPr>
        <w:t>联系人：房冬梅、温波</w:t>
      </w:r>
    </w:p>
    <w:p>
      <w:pPr>
        <w:pStyle w:val="4"/>
        <w:spacing w:before="214"/>
        <w:ind w:left="747"/>
        <w:rPr>
          <w:rFonts w:hint="eastAsia" w:ascii="仿宋" w:eastAsia="仿宋"/>
        </w:rPr>
      </w:pPr>
      <w:r>
        <w:rPr>
          <w:rFonts w:hint="eastAsia" w:ascii="仿宋" w:eastAsia="仿宋"/>
        </w:rPr>
        <w:t>联系电话：2215017、2297183</w:t>
      </w:r>
    </w:p>
    <w:p>
      <w:pPr>
        <w:pStyle w:val="4"/>
        <w:spacing w:before="214"/>
        <w:ind w:left="747"/>
        <w:rPr>
          <w:rFonts w:hint="eastAsia" w:ascii="黑体" w:eastAsia="黑体"/>
        </w:rPr>
      </w:pPr>
      <w:r>
        <w:rPr>
          <w:rFonts w:hint="eastAsia" w:ascii="黑体" w:eastAsia="黑体"/>
        </w:rPr>
        <w:t>二、免费提供员工返岗健康在线监测平台</w:t>
      </w:r>
    </w:p>
    <w:p>
      <w:pPr>
        <w:pStyle w:val="4"/>
        <w:spacing w:before="214" w:line="364" w:lineRule="auto"/>
        <w:ind w:left="107" w:right="33" w:firstLine="639"/>
        <w:rPr>
          <w:rFonts w:hint="eastAsia" w:ascii="仿宋" w:eastAsia="仿宋"/>
        </w:rPr>
      </w:pPr>
      <w:r>
        <w:rPr>
          <w:rFonts w:hint="eastAsia" w:ascii="仿宋" w:eastAsia="仿宋"/>
        </w:rPr>
        <w:t>为贯彻落实疫情防控有关规定，扎实做好企业有序复工和疫情防控工作，保障企业平稳运行，市大数据局协调阿里巴巴，</w:t>
      </w:r>
    </w:p>
    <w:p>
      <w:pPr>
        <w:spacing w:after="0" w:line="364" w:lineRule="auto"/>
        <w:rPr>
          <w:rFonts w:hint="eastAsia" w:ascii="仿宋" w:eastAsia="仿宋"/>
        </w:rPr>
        <w:sectPr>
          <w:footerReference r:id="rId3" w:type="default"/>
          <w:footerReference r:id="rId4" w:type="even"/>
          <w:pgSz w:w="11910" w:h="16840"/>
          <w:pgMar w:top="1600" w:right="1320" w:bottom="1380" w:left="1480" w:header="0" w:footer="1186" w:gutter="0"/>
          <w:pgNumType w:start="54"/>
        </w:sectPr>
      </w:pPr>
    </w:p>
    <w:p>
      <w:pPr>
        <w:pStyle w:val="4"/>
        <w:spacing w:before="11"/>
        <w:rPr>
          <w:rFonts w:ascii="仿宋"/>
          <w:sz w:val="11"/>
        </w:rPr>
      </w:pPr>
    </w:p>
    <w:p>
      <w:pPr>
        <w:pStyle w:val="4"/>
        <w:spacing w:before="55"/>
        <w:ind w:left="107"/>
        <w:rPr>
          <w:rFonts w:hint="eastAsia" w:ascii="仿宋" w:eastAsia="仿宋"/>
        </w:rPr>
      </w:pPr>
      <w:r>
        <w:rPr>
          <w:rFonts w:hint="eastAsia" w:ascii="仿宋" w:eastAsia="仿宋"/>
        </w:rPr>
        <w:t>免费为复工企业基于钉钉搭建员工返岗健康在线监测平台。</w:t>
      </w:r>
    </w:p>
    <w:p>
      <w:pPr>
        <w:pStyle w:val="4"/>
        <w:spacing w:before="213" w:line="364" w:lineRule="auto"/>
        <w:ind w:left="107" w:right="260" w:firstLine="639"/>
        <w:jc w:val="both"/>
        <w:rPr>
          <w:rFonts w:hint="eastAsia" w:ascii="仿宋" w:eastAsia="仿宋"/>
        </w:rPr>
      </w:pPr>
      <w:r>
        <w:t>（一）适用范围。</w:t>
      </w:r>
      <w:r>
        <w:rPr>
          <w:rFonts w:hint="eastAsia" w:ascii="仿宋" w:eastAsia="仿宋"/>
        </w:rPr>
        <w:t>全市所有企业和所有员工。其中，所有企业是指在连续性生产企业、已复工企业和待复工企业，所有员工是指已在滨州的、未返滨州的，也包括下一步拟招聘入职的新员工。</w:t>
      </w:r>
    </w:p>
    <w:p>
      <w:pPr>
        <w:pStyle w:val="4"/>
        <w:spacing w:before="4" w:line="364" w:lineRule="auto"/>
        <w:ind w:left="747" w:right="673"/>
        <w:rPr>
          <w:rFonts w:hint="eastAsia" w:ascii="仿宋" w:eastAsia="仿宋"/>
        </w:rPr>
      </w:pPr>
      <w:r>
        <w:t>（二）平台功能。</w:t>
      </w:r>
      <w:r>
        <w:rPr>
          <w:rFonts w:hint="eastAsia" w:ascii="仿宋" w:eastAsia="仿宋"/>
        </w:rPr>
        <w:t>可对企业员工的以下信息进行监测。1.员工的基本信息；</w:t>
      </w:r>
    </w:p>
    <w:p>
      <w:pPr>
        <w:pStyle w:val="4"/>
        <w:spacing w:before="2"/>
        <w:ind w:left="747"/>
        <w:rPr>
          <w:rFonts w:hint="eastAsia" w:ascii="仿宋" w:eastAsia="仿宋"/>
        </w:rPr>
      </w:pPr>
      <w:r>
        <w:rPr>
          <w:rFonts w:hint="eastAsia" w:ascii="仿宋" w:eastAsia="仿宋"/>
        </w:rPr>
        <w:t>2.近两周是否去过疫区；</w:t>
      </w:r>
    </w:p>
    <w:p>
      <w:pPr>
        <w:pStyle w:val="4"/>
        <w:spacing w:before="214"/>
        <w:ind w:left="747"/>
        <w:rPr>
          <w:rFonts w:hint="eastAsia" w:ascii="仿宋" w:eastAsia="仿宋"/>
        </w:rPr>
      </w:pPr>
      <w:r>
        <w:rPr>
          <w:rFonts w:hint="eastAsia" w:ascii="仿宋" w:eastAsia="仿宋"/>
        </w:rPr>
        <w:t>3.近两周个人防控措施情况；</w:t>
      </w:r>
    </w:p>
    <w:p>
      <w:pPr>
        <w:pStyle w:val="4"/>
        <w:spacing w:before="214"/>
        <w:ind w:left="747"/>
        <w:rPr>
          <w:rFonts w:hint="eastAsia" w:ascii="仿宋" w:eastAsia="仿宋"/>
        </w:rPr>
      </w:pPr>
      <w:r>
        <w:rPr>
          <w:rFonts w:hint="eastAsia" w:ascii="仿宋" w:eastAsia="仿宋"/>
        </w:rPr>
        <w:t>4.当前身体健康状况；</w:t>
      </w:r>
    </w:p>
    <w:p>
      <w:pPr>
        <w:pStyle w:val="4"/>
        <w:spacing w:before="214"/>
        <w:ind w:left="747"/>
        <w:rPr>
          <w:rFonts w:hint="eastAsia" w:ascii="仿宋" w:eastAsia="仿宋"/>
        </w:rPr>
      </w:pPr>
      <w:r>
        <w:rPr>
          <w:rFonts w:hint="eastAsia" w:ascii="仿宋" w:eastAsia="仿宋"/>
        </w:rPr>
        <w:t>5.外地员工返滨时间及交通方式。</w:t>
      </w:r>
    </w:p>
    <w:p>
      <w:pPr>
        <w:pStyle w:val="4"/>
        <w:spacing w:before="214" w:line="364" w:lineRule="auto"/>
        <w:ind w:left="107" w:right="194" w:firstLine="639"/>
        <w:rPr>
          <w:rFonts w:hint="eastAsia" w:ascii="仿宋" w:eastAsia="仿宋"/>
        </w:rPr>
      </w:pPr>
      <w:r>
        <w:rPr>
          <w:rFonts w:hint="eastAsia" w:ascii="仿宋" w:eastAsia="仿宋"/>
        </w:rPr>
        <w:t>同时，可提供 App 考勤，或网络打卡、蓝牙考勤机打卡、人脸打卡等非接触式打卡服务，保障员工健康。</w:t>
      </w:r>
    </w:p>
    <w:p>
      <w:pPr>
        <w:pStyle w:val="4"/>
        <w:spacing w:before="2" w:line="364" w:lineRule="auto"/>
        <w:ind w:left="107" w:right="262" w:firstLine="639"/>
        <w:rPr>
          <w:rFonts w:hint="eastAsia" w:ascii="仿宋" w:eastAsia="仿宋"/>
        </w:rPr>
      </w:pPr>
      <w:r>
        <w:t>（三）监测方式。</w:t>
      </w:r>
      <w:r>
        <w:rPr>
          <w:rFonts w:hint="eastAsia" w:ascii="仿宋" w:eastAsia="仿宋"/>
        </w:rPr>
        <w:t>各企业对本单位员工进行监测，由企业管理员监测员工情况。可减少企业数据填报、汇总等工作量。</w:t>
      </w:r>
    </w:p>
    <w:p>
      <w:pPr>
        <w:pStyle w:val="4"/>
        <w:spacing w:before="2" w:line="364" w:lineRule="auto"/>
        <w:ind w:left="107" w:right="260" w:firstLine="639"/>
        <w:jc w:val="both"/>
        <w:rPr>
          <w:rFonts w:hint="eastAsia" w:ascii="仿宋" w:eastAsia="仿宋"/>
        </w:rPr>
      </w:pPr>
      <w:r>
        <w:t>（四）平台安装。</w:t>
      </w:r>
      <w:r>
        <w:rPr>
          <w:rFonts w:hint="eastAsia" w:ascii="仿宋" w:eastAsia="仿宋"/>
        </w:rPr>
        <w:t>本着企业自愿的原则，企业管理人员及企业员工安装钉钉后，由技术人员在后台统一开通平台相关功能。有意安装平台的企业可联系市大数据局或技术人员。</w:t>
      </w:r>
    </w:p>
    <w:p>
      <w:pPr>
        <w:pStyle w:val="4"/>
        <w:spacing w:before="3" w:line="364" w:lineRule="auto"/>
        <w:ind w:left="747" w:right="4835"/>
        <w:rPr>
          <w:rFonts w:hint="eastAsia" w:ascii="仿宋" w:eastAsia="仿宋"/>
        </w:rPr>
      </w:pPr>
      <w:r>
        <w:rPr>
          <w:rFonts w:hint="eastAsia" w:ascii="仿宋" w:eastAsia="仿宋"/>
        </w:rPr>
        <w:t xml:space="preserve">市大数据局联系方式： </w:t>
      </w:r>
      <w:r>
        <w:rPr>
          <w:rFonts w:hint="eastAsia" w:ascii="仿宋" w:eastAsia="仿宋"/>
          <w:spacing w:val="-3"/>
        </w:rPr>
        <w:t>联 系 人：马鑫，刘晓欣</w:t>
      </w:r>
    </w:p>
    <w:p>
      <w:pPr>
        <w:pStyle w:val="4"/>
        <w:spacing w:before="2"/>
        <w:ind w:left="747"/>
        <w:rPr>
          <w:rFonts w:hint="eastAsia" w:ascii="仿宋" w:eastAsia="仿宋"/>
        </w:rPr>
      </w:pPr>
      <w:r>
        <w:rPr>
          <w:rFonts w:hint="eastAsia" w:ascii="仿宋" w:eastAsia="仿宋"/>
        </w:rPr>
        <w:t>联系电话：15550609900，13365437500</w:t>
      </w:r>
    </w:p>
    <w:p>
      <w:pPr>
        <w:pStyle w:val="4"/>
        <w:spacing w:before="214"/>
        <w:ind w:left="747"/>
        <w:rPr>
          <w:rFonts w:hint="eastAsia" w:ascii="仿宋" w:eastAsia="仿宋"/>
        </w:rPr>
      </w:pPr>
      <w:r>
        <w:rPr>
          <w:rFonts w:hint="eastAsia" w:ascii="仿宋" w:eastAsia="仿宋"/>
          <w:spacing w:val="3"/>
        </w:rPr>
        <w:t>技术人员联系方式（扫描下方二维码，可注册安装，技术</w:t>
      </w:r>
    </w:p>
    <w:p>
      <w:pPr>
        <w:spacing w:before="91"/>
        <w:ind w:left="0" w:right="118" w:firstLine="0"/>
        <w:jc w:val="right"/>
        <w:rPr>
          <w:sz w:val="28"/>
        </w:rPr>
      </w:pPr>
      <w:r>
        <w:rPr>
          <w:sz w:val="28"/>
        </w:rPr>
        <w:t>— 55 —</w:t>
      </w:r>
    </w:p>
    <w:p>
      <w:pPr>
        <w:spacing w:after="0"/>
        <w:jc w:val="right"/>
        <w:rPr>
          <w:sz w:val="28"/>
        </w:rPr>
        <w:sectPr>
          <w:footerReference r:id="rId5" w:type="even"/>
          <w:pgSz w:w="11910" w:h="16840"/>
          <w:pgMar w:top="1600" w:right="1320" w:bottom="280" w:left="1480" w:header="0" w:footer="0" w:gutter="0"/>
        </w:sectPr>
      </w:pPr>
    </w:p>
    <w:p>
      <w:pPr>
        <w:pStyle w:val="4"/>
        <w:spacing w:before="11"/>
        <w:rPr>
          <w:sz w:val="11"/>
        </w:rPr>
      </w:pPr>
    </w:p>
    <w:p>
      <w:pPr>
        <w:pStyle w:val="4"/>
        <w:spacing w:before="55"/>
        <w:ind w:left="107"/>
        <w:rPr>
          <w:rFonts w:hint="eastAsia" w:ascii="仿宋" w:eastAsia="仿宋"/>
        </w:rPr>
      </w:pPr>
      <w:r>
        <w:rPr>
          <w:rFonts w:hint="eastAsia" w:ascii="仿宋" w:eastAsia="仿宋"/>
          <w:spacing w:val="-1"/>
          <w:w w:val="100"/>
        </w:rPr>
        <w:t>人员进行指导</w:t>
      </w:r>
      <w:r>
        <w:rPr>
          <w:rFonts w:hint="eastAsia" w:ascii="仿宋" w:eastAsia="仿宋"/>
          <w:spacing w:val="-161"/>
          <w:w w:val="100"/>
        </w:rPr>
        <w:t>）</w:t>
      </w:r>
      <w:r>
        <w:rPr>
          <w:rFonts w:hint="eastAsia" w:ascii="仿宋" w:eastAsia="仿宋"/>
          <w:w w:val="100"/>
        </w:rPr>
        <w:t>：</w:t>
      </w:r>
    </w:p>
    <w:p>
      <w:pPr>
        <w:pStyle w:val="4"/>
        <w:rPr>
          <w:rFonts w:ascii="仿宋"/>
          <w:sz w:val="20"/>
        </w:rPr>
      </w:pPr>
    </w:p>
    <w:p>
      <w:pPr>
        <w:pStyle w:val="4"/>
        <w:rPr>
          <w:rFonts w:ascii="仿宋"/>
          <w:sz w:val="20"/>
        </w:rPr>
      </w:pPr>
    </w:p>
    <w:p>
      <w:pPr>
        <w:pStyle w:val="4"/>
        <w:rPr>
          <w:rFonts w:ascii="仿宋"/>
          <w:sz w:val="16"/>
        </w:rPr>
      </w:pPr>
      <w:r>
        <w:drawing>
          <wp:anchor distT="0" distB="0" distL="0" distR="0" simplePos="0" relativeHeight="1024" behindDoc="0" locked="0" layoutInCell="1" allowOverlap="1">
            <wp:simplePos x="0" y="0"/>
            <wp:positionH relativeFrom="page">
              <wp:posOffset>1107440</wp:posOffset>
            </wp:positionH>
            <wp:positionV relativeFrom="paragraph">
              <wp:posOffset>154940</wp:posOffset>
            </wp:positionV>
            <wp:extent cx="5092065" cy="2117725"/>
            <wp:effectExtent l="0" t="0" r="0" b="0"/>
            <wp:wrapTopAndBottom/>
            <wp:docPr id="21"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2.jpeg"/>
                    <pic:cNvPicPr>
                      <a:picLocks noChangeAspect="1"/>
                    </pic:cNvPicPr>
                  </pic:nvPicPr>
                  <pic:blipFill>
                    <a:blip r:embed="rId8" cstate="print"/>
                    <a:stretch>
                      <a:fillRect/>
                    </a:stretch>
                  </pic:blipFill>
                  <pic:spPr>
                    <a:xfrm>
                      <a:off x="0" y="0"/>
                      <a:ext cx="5092053" cy="2117502"/>
                    </a:xfrm>
                    <a:prstGeom prst="rect">
                      <a:avLst/>
                    </a:prstGeom>
                  </pic:spPr>
                </pic:pic>
              </a:graphicData>
            </a:graphic>
          </wp:anchor>
        </w:drawing>
      </w:r>
    </w:p>
    <w:sectPr>
      <w:footerReference r:id="rId6" w:type="even"/>
      <w:pgSz w:w="11910" w:h="16840"/>
      <w:pgMar w:top="1600" w:right="1320" w:bottom="1380" w:left="1480" w:header="0" w:footer="1186" w:gutter="0"/>
      <w:pgNumType w:start="5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1" o:spid="_x0000_s2051" o:spt="202" type="#_x0000_t202" style="position:absolute;left:0pt;margin-left:71pt;margin-top:771.65pt;height:18pt;width:58pt;mso-position-horizontal-relative:page;mso-position-vertical-relative:page;z-index:-254118912;mso-width-relative:page;mso-height-relative:page;" filled="f" stroked="f" coordsize="21600,21600">
          <v:path/>
          <v:fill on="f" focussize="0,0"/>
          <v:stroke on="f" joinstyle="miter"/>
          <v:imagedata o:title=""/>
          <o:lock v:ext="edit"/>
          <v:textbox inset="0mm,0mm,0mm,0mm">
            <w:txbxContent>
              <w:p>
                <w:pPr>
                  <w:spacing w:before="0" w:line="339"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54</w:t>
                </w:r>
                <w:r>
                  <w:fldChar w:fldCharType="end"/>
                </w:r>
                <w:r>
                  <w:rPr>
                    <w:sz w:val="2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2" o:spid="_x0000_s2052" o:spt="202" type="#_x0000_t202" style="position:absolute;left:0pt;margin-left:71pt;margin-top:771.65pt;height:18pt;width:58pt;mso-position-horizontal-relative:page;mso-position-vertical-relative:page;z-index:-254117888;mso-width-relative:page;mso-height-relative:page;" filled="f" stroked="f" coordsize="21600,21600">
          <v:path/>
          <v:fill on="f" focussize="0,0"/>
          <v:stroke on="f" joinstyle="miter"/>
          <v:imagedata o:title=""/>
          <o:lock v:ext="edit"/>
          <v:textbox inset="0mm,0mm,0mm,0mm">
            <w:txbxContent>
              <w:p>
                <w:pPr>
                  <w:spacing w:before="0" w:line="339"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56</w:t>
                </w:r>
                <w:r>
                  <w:fldChar w:fldCharType="end"/>
                </w:r>
                <w:r>
                  <w:rPr>
                    <w:sz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34A544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286" w:right="461" w:hanging="96"/>
      <w:jc w:val="center"/>
      <w:outlineLvl w:val="1"/>
    </w:pPr>
    <w:rPr>
      <w:rFonts w:ascii="宋体" w:hAnsi="宋体" w:eastAsia="宋体" w:cs="宋体"/>
      <w:b/>
      <w:bCs/>
      <w:sz w:val="72"/>
      <w:szCs w:val="72"/>
      <w:lang w:val="zh-CN" w:eastAsia="zh-CN" w:bidi="zh-CN"/>
    </w:rPr>
  </w:style>
  <w:style w:type="paragraph" w:styleId="3">
    <w:name w:val="heading 2"/>
    <w:basedOn w:val="1"/>
    <w:next w:val="1"/>
    <w:qFormat/>
    <w:uiPriority w:val="1"/>
    <w:pPr>
      <w:ind w:left="891" w:right="1076"/>
      <w:jc w:val="center"/>
      <w:outlineLvl w:val="2"/>
    </w:pPr>
    <w:rPr>
      <w:rFonts w:ascii="PMingLiU" w:hAnsi="PMingLiU" w:eastAsia="PMingLiU" w:cs="PMingLiU"/>
      <w:sz w:val="44"/>
      <w:szCs w:val="44"/>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60"/>
      <w:ind w:left="286" w:firstLine="597"/>
    </w:pPr>
    <w:rPr>
      <w:rFonts w:ascii="宋体" w:hAnsi="宋体" w:eastAsia="宋体" w:cs="宋体"/>
      <w:lang w:val="zh-CN" w:eastAsia="zh-CN" w:bidi="zh-CN"/>
    </w:rPr>
  </w:style>
  <w:style w:type="paragraph" w:customStyle="1" w:styleId="9">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2020-03-20T01:07:00Z</dcterms:created>
  <dc:creator>作者</dc:creator>
  <cp:lastModifiedBy>qzuser</cp:lastModifiedBy>
  <dcterms:modified xsi:type="dcterms:W3CDTF">2020-03-20T01:29:09Z</dcterms:modified>
  <dc:subject>科目</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2020-02-06T00:00:00Z</vt:filetime>
  </property>
  <property fmtid="{D5CDD505-2E9C-101B-9397-08002B2CF9AE}" pid="3" name="Creator">
    <vt:lpwstr>Adobe Acrobat Pro 11.0.0</vt:lpwstr>
  </property>
  <property fmtid="{D5CDD505-2E9C-101B-9397-08002B2CF9AE}" pid="4" name="LastSaved">
    <vt:filetime>2020-03-20T00:00:00Z</vt:filetime>
  </property>
  <property fmtid="{D5CDD505-2E9C-101B-9397-08002B2CF9AE}" pid="5" name="KSOProductBuildVer">
    <vt:lpwstr>2052-11.1.0.9513</vt:lpwstr>
  </property>
</Properties>
</file>