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ordWrap/>
        <w:adjustRightInd/>
        <w:snapToGrid/>
        <w:spacing w:beforeAutospacing="0" w:afterAutospacing="0" w:line="240" w:lineRule="auto"/>
        <w:ind w:left="0" w:leftChars="0" w:right="0"/>
        <w:jc w:val="left"/>
        <w:rPr>
          <w:rFonts w:hint="default" w:ascii="Times New Roman" w:hAnsi="Times New Roman" w:eastAsia="仿宋_GB2312" w:cs="Times New Roman"/>
          <w:sz w:val="32"/>
          <w:szCs w:val="24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24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24"/>
        </w:rPr>
        <w:t>2</w:t>
      </w:r>
    </w:p>
    <w:p>
      <w:pPr>
        <w:wordWrap/>
        <w:adjustRightInd/>
        <w:snapToGrid w:val="0"/>
        <w:spacing w:beforeAutospacing="0" w:afterAutospacing="0" w:line="360" w:lineRule="auto"/>
        <w:ind w:left="0" w:leftChars="0" w:right="0"/>
        <w:jc w:val="center"/>
        <w:rPr>
          <w:rFonts w:hint="eastAsia" w:ascii="方正小标宋简体" w:hAnsi="方正小标宋简体" w:eastAsia="方正小标宋简体" w:cs="方正小标宋简体"/>
          <w:sz w:val="32"/>
          <w:szCs w:val="36"/>
        </w:rPr>
      </w:pPr>
      <w:r>
        <w:rPr>
          <w:rFonts w:ascii="Times New Roman" w:hAnsi="Times New Roman" w:eastAsia="仿宋_GB2312" w:cs="Times New Roman"/>
          <w:sz w:val="28"/>
          <w:szCs w:val="32"/>
        </w:rPr>
        <w:t>____</w:t>
      </w:r>
      <w:r>
        <w:rPr>
          <w:rFonts w:hint="eastAsia" w:ascii="方正小标宋简体" w:hAnsi="方正小标宋简体" w:eastAsia="方正小标宋简体" w:cs="方正小标宋简体"/>
          <w:sz w:val="32"/>
          <w:szCs w:val="36"/>
        </w:rPr>
        <w:t>省（自治区、直辖市）国家重大工业专项节能监察任务汇总表</w:t>
      </w:r>
    </w:p>
    <w:p>
      <w:pPr>
        <w:wordWrap/>
        <w:adjustRightInd/>
        <w:snapToGrid w:val="0"/>
        <w:spacing w:beforeAutospacing="0" w:afterAutospacing="0" w:line="360" w:lineRule="auto"/>
        <w:ind w:left="0" w:leftChars="0" w:right="0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申报单位：            （盖章）</w:t>
      </w:r>
    </w:p>
    <w:tbl>
      <w:tblPr>
        <w:tblStyle w:val="5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32"/>
        <w:gridCol w:w="3285"/>
        <w:gridCol w:w="2570"/>
        <w:gridCol w:w="26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2" w:hRule="atLeast"/>
          <w:tblHeader/>
        </w:trPr>
        <w:tc>
          <w:tcPr>
            <w:tcW w:w="553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widowControl/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2"/>
              </w:rPr>
              <w:t>专项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2"/>
                <w:lang w:eastAsia="zh-CN"/>
              </w:rPr>
              <w:t>监察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widowControl/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2"/>
              </w:rPr>
              <w:t>行业（产品）</w:t>
            </w:r>
          </w:p>
        </w:tc>
        <w:tc>
          <w:tcPr>
            <w:tcW w:w="2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widowControl/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2"/>
              </w:rPr>
              <w:t>监察任务（家）</w:t>
            </w:r>
          </w:p>
        </w:tc>
        <w:tc>
          <w:tcPr>
            <w:tcW w:w="260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widowControl/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2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2" w:hRule="atLeast"/>
        </w:trPr>
        <w:tc>
          <w:tcPr>
            <w:tcW w:w="5532" w:type="dxa"/>
            <w:vMerge w:val="restar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/>
              <w:adjustRightInd/>
              <w:snapToGrid w:val="0"/>
              <w:spacing w:beforeAutospacing="0" w:afterAutospacing="0" w:line="360" w:lineRule="auto"/>
              <w:ind w:left="0" w:leftChars="0" w:right="0" w:firstLine="200" w:firstLineChars="91"/>
              <w:jc w:val="center"/>
              <w:rPr>
                <w:rFonts w:ascii="Times New Roman" w:hAnsi="Times New Roman" w:eastAsia="仿宋_GB2312" w:cs="Times New Roman"/>
                <w:color w:val="00000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</w:rPr>
              <w:t>重点行业能耗专项监察</w:t>
            </w:r>
          </w:p>
          <w:p>
            <w:pPr>
              <w:widowControl/>
              <w:wordWrap/>
              <w:adjustRightInd/>
              <w:snapToGrid w:val="0"/>
              <w:spacing w:beforeAutospacing="0" w:afterAutospacing="0" w:line="360" w:lineRule="auto"/>
              <w:ind w:left="0" w:leftChars="0" w:right="0" w:firstLine="200" w:firstLineChars="91"/>
              <w:jc w:val="center"/>
              <w:rPr>
                <w:rFonts w:ascii="Times New Roman" w:hAnsi="Times New Roman" w:eastAsia="仿宋_GB2312" w:cs="Times New Roman"/>
                <w:color w:val="00000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</w:rPr>
              <w:t>（含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阶梯电价政策执行专项监察）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</w:rPr>
              <w:t>钢铁</w:t>
            </w:r>
          </w:p>
        </w:tc>
        <w:tc>
          <w:tcPr>
            <w:tcW w:w="2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2"/>
              </w:rPr>
            </w:pPr>
          </w:p>
        </w:tc>
        <w:tc>
          <w:tcPr>
            <w:tcW w:w="260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/>
              <w:adjustRightInd/>
              <w:snapToGrid w:val="0"/>
              <w:spacing w:beforeAutospacing="0" w:afterAutospacing="0" w:line="360" w:lineRule="auto"/>
              <w:ind w:left="0" w:leftChars="0" w:right="0" w:rightChars="0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lang w:eastAsia="zh-CN"/>
              </w:rPr>
              <w:t>说明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2020年超标企业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lang w:val="en-US" w:eastAsia="zh-CN"/>
              </w:rPr>
              <w:t>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2" w:hRule="atLeast"/>
        </w:trPr>
        <w:tc>
          <w:tcPr>
            <w:tcW w:w="553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/>
              <w:adjustRightInd/>
              <w:snapToGrid w:val="0"/>
              <w:spacing w:beforeAutospacing="0" w:afterAutospacing="0" w:line="360" w:lineRule="auto"/>
              <w:ind w:left="0" w:leftChars="0" w:right="0" w:firstLine="200" w:firstLineChars="91"/>
              <w:jc w:val="center"/>
              <w:rPr>
                <w:rFonts w:ascii="Times New Roman" w:hAnsi="Times New Roman" w:eastAsia="仿宋_GB2312" w:cs="Times New Roman"/>
                <w:color w:val="000000"/>
                <w:sz w:val="22"/>
              </w:rPr>
            </w:pP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</w:rPr>
              <w:t>水泥（有熟料生产线）</w:t>
            </w:r>
          </w:p>
        </w:tc>
        <w:tc>
          <w:tcPr>
            <w:tcW w:w="2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2"/>
              </w:rPr>
            </w:pPr>
          </w:p>
        </w:tc>
        <w:tc>
          <w:tcPr>
            <w:tcW w:w="260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/>
              <w:adjustRightInd/>
              <w:snapToGrid w:val="0"/>
              <w:spacing w:beforeAutospacing="0" w:afterAutospacing="0" w:line="360" w:lineRule="auto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lang w:eastAsia="zh-CN"/>
              </w:rPr>
              <w:t>说明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2020年超标企业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lang w:val="en-US" w:eastAsia="zh-CN"/>
              </w:rPr>
              <w:t>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2" w:hRule="atLeast"/>
        </w:trPr>
        <w:tc>
          <w:tcPr>
            <w:tcW w:w="553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/>
              <w:adjustRightInd/>
              <w:snapToGrid w:val="0"/>
              <w:spacing w:beforeAutospacing="0" w:afterAutospacing="0" w:line="360" w:lineRule="auto"/>
              <w:ind w:left="0" w:leftChars="0" w:right="0" w:firstLine="200" w:firstLineChars="91"/>
              <w:jc w:val="center"/>
              <w:rPr>
                <w:rFonts w:ascii="Times New Roman" w:hAnsi="Times New Roman" w:eastAsia="仿宋_GB2312" w:cs="Times New Roman"/>
                <w:color w:val="000000"/>
                <w:sz w:val="22"/>
              </w:rPr>
            </w:pP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</w:rPr>
              <w:t>电解铝</w:t>
            </w:r>
          </w:p>
        </w:tc>
        <w:tc>
          <w:tcPr>
            <w:tcW w:w="2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2"/>
              </w:rPr>
            </w:pPr>
          </w:p>
        </w:tc>
        <w:tc>
          <w:tcPr>
            <w:tcW w:w="260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/>
              <w:adjustRightInd/>
              <w:snapToGrid w:val="0"/>
              <w:spacing w:beforeAutospacing="0" w:afterAutospacing="0" w:line="360" w:lineRule="auto"/>
              <w:ind w:left="0" w:leftChars="0" w:right="0" w:rightChars="0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lang w:eastAsia="zh-CN"/>
              </w:rPr>
              <w:t>说明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2020年超标企业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lang w:val="en-US" w:eastAsia="zh-CN"/>
              </w:rPr>
              <w:t>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2" w:hRule="atLeast"/>
        </w:trPr>
        <w:tc>
          <w:tcPr>
            <w:tcW w:w="553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/>
              <w:adjustRightInd/>
              <w:snapToGrid w:val="0"/>
              <w:spacing w:beforeAutospacing="0" w:afterAutospacing="0" w:line="360" w:lineRule="auto"/>
              <w:ind w:left="0" w:leftChars="0" w:right="0" w:firstLine="200" w:firstLineChars="91"/>
              <w:jc w:val="center"/>
              <w:rPr>
                <w:rFonts w:ascii="Times New Roman" w:hAnsi="Times New Roman" w:eastAsia="仿宋_GB2312" w:cs="Times New Roman"/>
                <w:color w:val="000000"/>
                <w:sz w:val="22"/>
              </w:rPr>
            </w:pP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</w:rPr>
              <w:t>……</w:t>
            </w:r>
          </w:p>
        </w:tc>
        <w:tc>
          <w:tcPr>
            <w:tcW w:w="2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/>
              <w:adjustRightInd/>
              <w:snapToGrid w:val="0"/>
              <w:spacing w:beforeAutospacing="0" w:afterAutospacing="0" w:line="360" w:lineRule="auto"/>
              <w:ind w:left="0" w:leftChars="0" w:right="0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2"/>
              </w:rPr>
            </w:pPr>
          </w:p>
        </w:tc>
        <w:tc>
          <w:tcPr>
            <w:tcW w:w="260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/>
              <w:adjustRightInd/>
              <w:snapToGrid w:val="0"/>
              <w:spacing w:beforeAutospacing="0" w:afterAutospacing="0" w:line="360" w:lineRule="auto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</w:rPr>
              <w:t>其它行业请逐一统计说明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553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/>
              <w:adjustRightInd/>
              <w:snapToGrid w:val="0"/>
              <w:spacing w:beforeAutospacing="0" w:afterAutospacing="0" w:line="360" w:lineRule="auto"/>
              <w:ind w:left="0" w:leftChars="0" w:right="0" w:rightChars="0"/>
              <w:jc w:val="center"/>
              <w:rPr>
                <w:rFonts w:ascii="Times New Roman" w:hAnsi="Times New Roman" w:eastAsia="仿宋_GB2312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70707"/>
                <w:kern w:val="0"/>
                <w:sz w:val="22"/>
                <w:szCs w:val="24"/>
              </w:rPr>
              <w:t>数据中心能效专项监察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/>
              <w:adjustRightInd/>
              <w:snapToGrid w:val="0"/>
              <w:spacing w:beforeAutospacing="0" w:afterAutospacing="0" w:line="360" w:lineRule="auto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2"/>
                <w:szCs w:val="24"/>
              </w:rPr>
              <w:t>数据中心</w:t>
            </w:r>
          </w:p>
        </w:tc>
        <w:tc>
          <w:tcPr>
            <w:tcW w:w="2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/>
              <w:adjustRightInd/>
              <w:snapToGrid w:val="0"/>
              <w:spacing w:beforeAutospacing="0" w:afterAutospacing="0" w:line="360" w:lineRule="auto"/>
              <w:ind w:left="0" w:leftChars="0" w:right="0" w:rightChars="0"/>
              <w:jc w:val="center"/>
              <w:rPr>
                <w:rFonts w:ascii="Times New Roman" w:hAnsi="Times New Roman" w:eastAsia="仿宋_GB2312" w:cs="Times New Roman"/>
                <w:color w:val="000000"/>
                <w:sz w:val="22"/>
              </w:rPr>
            </w:pPr>
          </w:p>
        </w:tc>
        <w:tc>
          <w:tcPr>
            <w:tcW w:w="260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/>
              <w:adjustRightInd/>
              <w:snapToGrid w:val="0"/>
              <w:spacing w:beforeAutospacing="0" w:afterAutospacing="0" w:line="360" w:lineRule="auto"/>
              <w:ind w:left="0" w:leftChars="0" w:right="0" w:rightChars="0"/>
              <w:jc w:val="center"/>
              <w:rPr>
                <w:rFonts w:ascii="Times New Roman" w:hAnsi="Times New Roman" w:eastAsia="仿宋_GB2312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553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/>
              <w:adjustRightInd/>
              <w:snapToGrid w:val="0"/>
              <w:spacing w:beforeAutospacing="0" w:afterAutospacing="0" w:line="360" w:lineRule="auto"/>
              <w:ind w:left="0" w:leftChars="0" w:right="0" w:rightChars="0"/>
              <w:jc w:val="center"/>
              <w:rPr>
                <w:rFonts w:ascii="Times New Roman" w:hAnsi="Times New Roman" w:eastAsia="仿宋_GB2312" w:cs="Times New Roman"/>
                <w:color w:val="00000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2020年违规企业整改落实情况专项监察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/>
              <w:adjustRightInd/>
              <w:snapToGrid w:val="0"/>
              <w:spacing w:beforeAutospacing="0" w:afterAutospacing="0" w:line="360" w:lineRule="auto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2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/>
              <w:adjustRightInd/>
              <w:snapToGrid w:val="0"/>
              <w:spacing w:beforeAutospacing="0" w:afterAutospacing="0" w:line="360" w:lineRule="auto"/>
              <w:ind w:left="0" w:leftChars="0" w:right="0" w:rightChars="0"/>
              <w:jc w:val="center"/>
              <w:rPr>
                <w:rFonts w:ascii="Times New Roman" w:hAnsi="Times New Roman" w:eastAsia="仿宋_GB2312" w:cs="Times New Roman"/>
                <w:color w:val="000000"/>
                <w:sz w:val="22"/>
              </w:rPr>
            </w:pPr>
          </w:p>
        </w:tc>
        <w:tc>
          <w:tcPr>
            <w:tcW w:w="260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/>
              <w:adjustRightInd/>
              <w:snapToGrid w:val="0"/>
              <w:spacing w:beforeAutospacing="0" w:afterAutospacing="0" w:line="360" w:lineRule="auto"/>
              <w:ind w:left="0" w:leftChars="0" w:right="0" w:rightChars="0"/>
              <w:jc w:val="center"/>
              <w:rPr>
                <w:rFonts w:ascii="Times New Roman" w:hAnsi="Times New Roman" w:eastAsia="仿宋_GB2312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8817" w:type="dxa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/>
              <w:adjustRightInd/>
              <w:snapToGrid w:val="0"/>
              <w:spacing w:beforeAutospacing="0" w:afterAutospacing="0" w:line="360" w:lineRule="auto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指定或委托组织实施的节能监察机构（1家）</w:t>
            </w:r>
          </w:p>
        </w:tc>
        <w:tc>
          <w:tcPr>
            <w:tcW w:w="5171" w:type="dxa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/>
              <w:adjustRightInd/>
              <w:snapToGrid w:val="0"/>
              <w:spacing w:beforeAutospacing="0" w:afterAutospacing="0" w:line="360" w:lineRule="auto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22"/>
              </w:rPr>
              <w:t>（机构名称及开户单位、开户行及银行账户信息）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8817" w:type="dxa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/>
              <w:adjustRightInd/>
              <w:snapToGrid w:val="0"/>
              <w:spacing w:beforeAutospacing="0" w:afterAutospacing="0" w:line="360" w:lineRule="auto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lang w:eastAsia="zh-CN"/>
              </w:rPr>
              <w:t>结余节能监察补助经费（万元）</w:t>
            </w:r>
          </w:p>
        </w:tc>
        <w:tc>
          <w:tcPr>
            <w:tcW w:w="5171" w:type="dxa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/>
              <w:adjustRightInd/>
              <w:snapToGrid w:val="0"/>
              <w:spacing w:beforeAutospacing="0" w:afterAutospacing="0" w:line="360" w:lineRule="auto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</w:rPr>
            </w:pPr>
          </w:p>
        </w:tc>
      </w:tr>
    </w:tbl>
    <w:p>
      <w:pPr>
        <w:wordWrap/>
        <w:adjustRightInd/>
        <w:snapToGrid w:val="0"/>
        <w:spacing w:beforeAutospacing="0" w:afterAutospacing="0" w:line="360" w:lineRule="auto"/>
        <w:ind w:left="0" w:leftChars="0" w:right="0"/>
        <w:rPr>
          <w:rFonts w:ascii="Times New Roman" w:hAnsi="Times New Roman" w:eastAsia="仿宋_GB2312" w:cs="Times New Roman"/>
        </w:rPr>
      </w:pPr>
    </w:p>
    <w:p>
      <w:pPr>
        <w:numPr>
          <w:ilvl w:val="0"/>
          <w:numId w:val="0"/>
        </w:numPr>
        <w:wordWrap/>
        <w:adjustRightInd/>
        <w:snapToGrid w:val="0"/>
        <w:spacing w:beforeAutospacing="0" w:afterAutospacing="0" w:line="360" w:lineRule="auto"/>
        <w:ind w:left="0" w:leftChars="0" w:right="0" w:firstLine="0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</w:rPr>
        <w:t xml:space="preserve">注:  </w:t>
      </w:r>
      <w:r>
        <w:rPr>
          <w:rFonts w:hint="default" w:ascii="Times New Roman" w:hAnsi="Times New Roman" w:eastAsia="仿宋_GB2312" w:cs="Times New Roman"/>
          <w:lang w:eastAsia="zh-CN"/>
        </w:rPr>
        <w:t>1.</w:t>
      </w:r>
      <w:r>
        <w:rPr>
          <w:rFonts w:hint="eastAsia" w:ascii="Times New Roman" w:hAnsi="Times New Roman" w:eastAsia="仿宋_GB2312" w:cs="Times New Roman"/>
          <w:lang w:val="en-US" w:eastAsia="zh-CN"/>
        </w:rPr>
        <w:t>每</w:t>
      </w:r>
      <w:r>
        <w:rPr>
          <w:rFonts w:ascii="Times New Roman" w:hAnsi="Times New Roman" w:eastAsia="仿宋_GB2312" w:cs="Times New Roman"/>
        </w:rPr>
        <w:t>家企业只</w:t>
      </w:r>
      <w:r>
        <w:rPr>
          <w:rFonts w:hint="eastAsia" w:ascii="Times New Roman" w:hAnsi="Times New Roman" w:eastAsia="仿宋_GB2312" w:cs="Times New Roman"/>
          <w:lang w:eastAsia="zh-CN"/>
        </w:rPr>
        <w:t>允许</w:t>
      </w:r>
      <w:r>
        <w:rPr>
          <w:rFonts w:ascii="Times New Roman" w:hAnsi="Times New Roman" w:eastAsia="仿宋_GB2312" w:cs="Times New Roman"/>
        </w:rPr>
        <w:t>安排</w:t>
      </w:r>
      <w:r>
        <w:rPr>
          <w:rFonts w:hint="eastAsia" w:ascii="Times New Roman" w:hAnsi="Times New Roman" w:eastAsia="仿宋_GB2312" w:cs="Times New Roman"/>
          <w:lang w:eastAsia="zh-CN"/>
        </w:rPr>
        <w:t>一项专项节能监察任务，不得对同一家企业执行两项或两项以上专项节能监察任务</w:t>
      </w:r>
      <w:r>
        <w:rPr>
          <w:rFonts w:hint="default" w:ascii="Times New Roman" w:hAnsi="Times New Roman" w:eastAsia="仿宋_GB2312" w:cs="Times New Roman"/>
          <w:lang w:eastAsia="zh-CN"/>
        </w:rPr>
        <w:t>；</w:t>
      </w:r>
    </w:p>
    <w:p>
      <w:pPr>
        <w:numPr>
          <w:ilvl w:val="0"/>
          <w:numId w:val="1"/>
        </w:numPr>
        <w:wordWrap/>
        <w:adjustRightInd/>
        <w:snapToGrid w:val="0"/>
        <w:spacing w:beforeAutospacing="0" w:afterAutospacing="0" w:line="360" w:lineRule="auto"/>
        <w:ind w:left="0" w:leftChars="0" w:right="0" w:firstLine="480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</w:rPr>
        <w:t>为避免重复统计，对</w:t>
      </w:r>
      <w:r>
        <w:rPr>
          <w:rFonts w:hint="eastAsia" w:ascii="Times New Roman" w:hAnsi="Times New Roman" w:eastAsia="仿宋_GB2312" w:cs="Times New Roman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lang w:eastAsia="zh-CN"/>
        </w:rPr>
        <w:t>20</w:t>
      </w:r>
      <w:r>
        <w:rPr>
          <w:rFonts w:hint="eastAsia" w:ascii="Times New Roman" w:hAnsi="Times New Roman" w:eastAsia="仿宋_GB2312" w:cs="Times New Roman"/>
          <w:lang w:val="en-US" w:eastAsia="zh-CN"/>
        </w:rPr>
        <w:t>年</w:t>
      </w:r>
      <w:r>
        <w:rPr>
          <w:rFonts w:ascii="Times New Roman" w:hAnsi="Times New Roman" w:eastAsia="仿宋_GB2312" w:cs="Times New Roman"/>
        </w:rPr>
        <w:t>钢铁、水泥、电解铝行业违规企业的监察</w:t>
      </w:r>
      <w:r>
        <w:rPr>
          <w:rFonts w:hint="eastAsia" w:ascii="Times New Roman" w:hAnsi="Times New Roman" w:eastAsia="仿宋_GB2312" w:cs="Times New Roman"/>
          <w:lang w:eastAsia="zh-CN"/>
        </w:rPr>
        <w:t>应在</w:t>
      </w:r>
      <w:r>
        <w:rPr>
          <w:rFonts w:ascii="Times New Roman" w:hAnsi="Times New Roman" w:eastAsia="仿宋_GB2312" w:cs="Times New Roman"/>
          <w:color w:val="000000"/>
          <w:sz w:val="22"/>
        </w:rPr>
        <w:t>重点行业能耗专项监察</w:t>
      </w:r>
      <w:r>
        <w:rPr>
          <w:rFonts w:hint="eastAsia" w:ascii="Times New Roman" w:hAnsi="Times New Roman" w:eastAsia="仿宋_GB2312" w:cs="Times New Roman"/>
          <w:lang w:eastAsia="zh-CN"/>
        </w:rPr>
        <w:t>中申报，并在</w:t>
      </w:r>
      <w:r>
        <w:rPr>
          <w:rFonts w:hint="default" w:ascii="Times New Roman" w:hAnsi="Times New Roman" w:eastAsia="仿宋_GB2312" w:cs="Times New Roman"/>
          <w:lang w:eastAsia="zh-CN"/>
        </w:rPr>
        <w:t>附件3</w:t>
      </w:r>
      <w:r>
        <w:rPr>
          <w:rFonts w:hint="eastAsia" w:ascii="Times New Roman" w:hAnsi="Times New Roman" w:eastAsia="仿宋_GB2312" w:cs="Times New Roman"/>
          <w:lang w:eastAsia="zh-CN"/>
        </w:rPr>
        <w:t>备注中注明</w:t>
      </w:r>
      <w:r>
        <w:rPr>
          <w:rFonts w:hint="default" w:ascii="Times New Roman" w:hAnsi="Times New Roman" w:eastAsia="仿宋_GB2312" w:cs="Times New Roman"/>
          <w:lang w:eastAsia="zh-CN"/>
        </w:rPr>
        <w:t>；</w:t>
      </w:r>
    </w:p>
    <w:p>
      <w:pPr>
        <w:numPr>
          <w:ilvl w:val="0"/>
          <w:numId w:val="1"/>
        </w:numPr>
        <w:wordWrap/>
        <w:adjustRightInd/>
        <w:snapToGrid w:val="0"/>
        <w:spacing w:beforeAutospacing="0" w:afterAutospacing="0" w:line="360" w:lineRule="auto"/>
        <w:ind w:left="0" w:leftChars="0" w:right="0" w:firstLine="480"/>
        <w:rPr>
          <w:rFonts w:hint="eastAsia" w:ascii="Times New Roman" w:hAnsi="Times New Roman" w:eastAsia="仿宋_GB2312" w:cs="Times New Roman"/>
          <w:lang w:eastAsia="zh-CN"/>
        </w:rPr>
      </w:pPr>
      <w:r>
        <w:rPr>
          <w:rFonts w:hint="eastAsia" w:ascii="Times New Roman" w:hAnsi="Times New Roman" w:eastAsia="仿宋_GB2312" w:cs="Times New Roman"/>
          <w:lang w:eastAsia="zh-CN"/>
        </w:rPr>
        <w:t>重点行业能耗专项监察中，同一家企业生产多种产品的应按一家企业申报，并在附</w:t>
      </w:r>
      <w:r>
        <w:rPr>
          <w:rFonts w:hint="default" w:ascii="Times New Roman" w:hAnsi="Times New Roman" w:eastAsia="仿宋_GB2312" w:cs="Times New Roman"/>
          <w:lang w:eastAsia="zh-CN"/>
        </w:rPr>
        <w:t>件3</w:t>
      </w:r>
      <w:r>
        <w:rPr>
          <w:rFonts w:hint="eastAsia" w:ascii="Times New Roman" w:hAnsi="Times New Roman" w:eastAsia="仿宋_GB2312" w:cs="Times New Roman"/>
          <w:lang w:eastAsia="zh-CN"/>
        </w:rPr>
        <w:t>注明。</w:t>
      </w:r>
    </w:p>
    <w:sectPr>
      <w:headerReference r:id="rId3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77C821"/>
    <w:multiLevelType w:val="singleLevel"/>
    <w:tmpl w:val="5C77C821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2D59B7"/>
    <w:rsid w:val="054A11E3"/>
    <w:rsid w:val="0B2D59B7"/>
    <w:rsid w:val="0C2FB55B"/>
    <w:rsid w:val="0EB3180E"/>
    <w:rsid w:val="0F7FA0FA"/>
    <w:rsid w:val="12D33050"/>
    <w:rsid w:val="13DE8AEB"/>
    <w:rsid w:val="1F6FD28B"/>
    <w:rsid w:val="285017C2"/>
    <w:rsid w:val="2B975112"/>
    <w:rsid w:val="2EDF5B4A"/>
    <w:rsid w:val="304E7307"/>
    <w:rsid w:val="31DF834A"/>
    <w:rsid w:val="359FDCDF"/>
    <w:rsid w:val="35EF96DE"/>
    <w:rsid w:val="37F666DB"/>
    <w:rsid w:val="39DFE210"/>
    <w:rsid w:val="3A7E646A"/>
    <w:rsid w:val="3AEFBD63"/>
    <w:rsid w:val="3BFFD9E1"/>
    <w:rsid w:val="3C0E72C2"/>
    <w:rsid w:val="3D87EC65"/>
    <w:rsid w:val="3E3F3BA1"/>
    <w:rsid w:val="3E7709B3"/>
    <w:rsid w:val="3EEE423D"/>
    <w:rsid w:val="3F3B1268"/>
    <w:rsid w:val="3F5C1A4A"/>
    <w:rsid w:val="3FAB8856"/>
    <w:rsid w:val="3FEFF0EA"/>
    <w:rsid w:val="3FF76226"/>
    <w:rsid w:val="3FF91CCD"/>
    <w:rsid w:val="43652FEA"/>
    <w:rsid w:val="44111852"/>
    <w:rsid w:val="45507D31"/>
    <w:rsid w:val="45CC63A8"/>
    <w:rsid w:val="47DBF05E"/>
    <w:rsid w:val="4BF9A960"/>
    <w:rsid w:val="52531F48"/>
    <w:rsid w:val="53DF1F2F"/>
    <w:rsid w:val="55FA3545"/>
    <w:rsid w:val="55FD1A4E"/>
    <w:rsid w:val="56F161BD"/>
    <w:rsid w:val="56FFBA33"/>
    <w:rsid w:val="578A2FE5"/>
    <w:rsid w:val="57FF4343"/>
    <w:rsid w:val="58F9ABF0"/>
    <w:rsid w:val="5AFC4065"/>
    <w:rsid w:val="5CCFE773"/>
    <w:rsid w:val="5F7B1987"/>
    <w:rsid w:val="5F7F7839"/>
    <w:rsid w:val="5FF5B4FC"/>
    <w:rsid w:val="5FFB182F"/>
    <w:rsid w:val="5FFD9836"/>
    <w:rsid w:val="5FFF0FB4"/>
    <w:rsid w:val="64D15BC4"/>
    <w:rsid w:val="65CF98AB"/>
    <w:rsid w:val="66FFF488"/>
    <w:rsid w:val="6ABFBDBF"/>
    <w:rsid w:val="6C7351E2"/>
    <w:rsid w:val="6DFD6333"/>
    <w:rsid w:val="6EFB111E"/>
    <w:rsid w:val="6F6FCFDD"/>
    <w:rsid w:val="6F7786BC"/>
    <w:rsid w:val="6FEE4CA5"/>
    <w:rsid w:val="6FF7BC8A"/>
    <w:rsid w:val="6FFDEED8"/>
    <w:rsid w:val="6FFEAB59"/>
    <w:rsid w:val="7119062E"/>
    <w:rsid w:val="717D5EE9"/>
    <w:rsid w:val="727C77D1"/>
    <w:rsid w:val="731FEFD8"/>
    <w:rsid w:val="733EEE76"/>
    <w:rsid w:val="73E83794"/>
    <w:rsid w:val="73FEBEC0"/>
    <w:rsid w:val="75EFDDB1"/>
    <w:rsid w:val="75F3A9F6"/>
    <w:rsid w:val="76E72812"/>
    <w:rsid w:val="76EEF0B5"/>
    <w:rsid w:val="76F3B25F"/>
    <w:rsid w:val="76FF1B96"/>
    <w:rsid w:val="773EB95F"/>
    <w:rsid w:val="77559E05"/>
    <w:rsid w:val="797F9041"/>
    <w:rsid w:val="79FF5E57"/>
    <w:rsid w:val="7A4F5056"/>
    <w:rsid w:val="7A6721D7"/>
    <w:rsid w:val="7AB54F98"/>
    <w:rsid w:val="7B7EA981"/>
    <w:rsid w:val="7B86F1DE"/>
    <w:rsid w:val="7BE7D3CC"/>
    <w:rsid w:val="7BEFD7F1"/>
    <w:rsid w:val="7BFF2B3B"/>
    <w:rsid w:val="7C5CD4E5"/>
    <w:rsid w:val="7CF67B7F"/>
    <w:rsid w:val="7D7FCC3B"/>
    <w:rsid w:val="7DFF6BDF"/>
    <w:rsid w:val="7EF7D364"/>
    <w:rsid w:val="7EFF72D8"/>
    <w:rsid w:val="7F7A55F2"/>
    <w:rsid w:val="7FB79DBC"/>
    <w:rsid w:val="7FDFEC41"/>
    <w:rsid w:val="7FEF898D"/>
    <w:rsid w:val="7FEFAC9F"/>
    <w:rsid w:val="7FF248D6"/>
    <w:rsid w:val="7FF41ACB"/>
    <w:rsid w:val="7FF76473"/>
    <w:rsid w:val="85BB6F60"/>
    <w:rsid w:val="87FF7455"/>
    <w:rsid w:val="9BAFEC6B"/>
    <w:rsid w:val="9BFDCCB6"/>
    <w:rsid w:val="9E3D3C85"/>
    <w:rsid w:val="9E649537"/>
    <w:rsid w:val="9FA3647A"/>
    <w:rsid w:val="B7751E59"/>
    <w:rsid w:val="B847170E"/>
    <w:rsid w:val="BDBFA7C2"/>
    <w:rsid w:val="BDDF2A15"/>
    <w:rsid w:val="BDE7B1C7"/>
    <w:rsid w:val="BDF7D9E7"/>
    <w:rsid w:val="BF7754B4"/>
    <w:rsid w:val="BFBFA00C"/>
    <w:rsid w:val="BFCB346E"/>
    <w:rsid w:val="BFF72038"/>
    <w:rsid w:val="C36E92E2"/>
    <w:rsid w:val="C7BD07B0"/>
    <w:rsid w:val="D59F89D5"/>
    <w:rsid w:val="D9F58412"/>
    <w:rsid w:val="DC8D69F4"/>
    <w:rsid w:val="DCFFADD5"/>
    <w:rsid w:val="DDCD9720"/>
    <w:rsid w:val="DEFFEEE7"/>
    <w:rsid w:val="DFB323FD"/>
    <w:rsid w:val="DFDB32E3"/>
    <w:rsid w:val="DFEAC84D"/>
    <w:rsid w:val="DFED7AE0"/>
    <w:rsid w:val="DFEE6B04"/>
    <w:rsid w:val="DFEF95DE"/>
    <w:rsid w:val="DFF72DC5"/>
    <w:rsid w:val="E27BA776"/>
    <w:rsid w:val="E7F9A69A"/>
    <w:rsid w:val="E8B3D314"/>
    <w:rsid w:val="E8F3A03D"/>
    <w:rsid w:val="EB5348D9"/>
    <w:rsid w:val="EBB64977"/>
    <w:rsid w:val="ECFF591A"/>
    <w:rsid w:val="EDFBED9A"/>
    <w:rsid w:val="EEBC1D02"/>
    <w:rsid w:val="EEDF8442"/>
    <w:rsid w:val="EF538CC7"/>
    <w:rsid w:val="EF7F8E70"/>
    <w:rsid w:val="EFB38F8A"/>
    <w:rsid w:val="EFDDDB57"/>
    <w:rsid w:val="F07110D3"/>
    <w:rsid w:val="F34B56ED"/>
    <w:rsid w:val="F3AFB3A0"/>
    <w:rsid w:val="F3F99BDC"/>
    <w:rsid w:val="F3FFC94E"/>
    <w:rsid w:val="F6FEE604"/>
    <w:rsid w:val="F77D7F53"/>
    <w:rsid w:val="F88B7CA6"/>
    <w:rsid w:val="F95F3684"/>
    <w:rsid w:val="F9772EE5"/>
    <w:rsid w:val="FB0DC258"/>
    <w:rsid w:val="FB7CCCF4"/>
    <w:rsid w:val="FBE5B1C4"/>
    <w:rsid w:val="FBFF136B"/>
    <w:rsid w:val="FBFF824D"/>
    <w:rsid w:val="FBFFE4D1"/>
    <w:rsid w:val="FD370EF7"/>
    <w:rsid w:val="FD7EF3D8"/>
    <w:rsid w:val="FDD6007C"/>
    <w:rsid w:val="FDFBA0EB"/>
    <w:rsid w:val="FDFFC28C"/>
    <w:rsid w:val="FEF74A39"/>
    <w:rsid w:val="FEFF800C"/>
    <w:rsid w:val="FF2FDE54"/>
    <w:rsid w:val="FF39C519"/>
    <w:rsid w:val="FF5F0DF0"/>
    <w:rsid w:val="FF75C245"/>
    <w:rsid w:val="FF7EAD6C"/>
    <w:rsid w:val="FF9AD377"/>
    <w:rsid w:val="FFC758C7"/>
    <w:rsid w:val="FFD77089"/>
    <w:rsid w:val="FFD785EC"/>
    <w:rsid w:val="FFE3B276"/>
    <w:rsid w:val="FFEBC671"/>
    <w:rsid w:val="FFEDB044"/>
    <w:rsid w:val="FFEFB73F"/>
    <w:rsid w:val="FFFEC2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54.6666666666667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2020-11-28T06:54:00Z</dcterms:created>
  <dc:creator>孙靖宸</dc:creator>
  <cp:lastModifiedBy>大嘴小于</cp:lastModifiedBy>
  <cp:lastPrinted>2021-03-30T03:00:00Z</cp:lastPrinted>
  <dcterms:modified xsi:type="dcterms:W3CDTF">2021-04-19T02:56:50Z</dcterms:modified>
  <dc:title>2021年工业节能监察重点工作计划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2AE8C7FC066546E28EF559FEB060572A</vt:lpwstr>
  </property>
</Properties>
</file>