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7.4.3</w:t>
      </w:r>
    </w:p>
    <w:p>
      <w:pPr>
        <w:jc w:val="center"/>
        <w:rPr>
          <w:rFonts w:hint="eastAsia" w:ascii="黑体" w:hAnsi="黑体" w:eastAsia="黑体" w:cs="黑体"/>
          <w:b/>
          <w:bCs/>
          <w:sz w:val="44"/>
          <w:szCs w:val="44"/>
        </w:rPr>
      </w:pPr>
      <w:r>
        <w:rPr>
          <w:rFonts w:hint="eastAsia" w:ascii="黑体" w:hAnsi="黑体" w:eastAsia="黑体" w:cs="黑体"/>
          <w:b/>
          <w:bCs/>
          <w:sz w:val="44"/>
          <w:szCs w:val="44"/>
        </w:rPr>
        <w:t>山东铝谷大宗商品交易中心</w:t>
      </w:r>
    </w:p>
    <w:p>
      <w:pPr>
        <w:jc w:val="center"/>
        <w:rPr>
          <w:rFonts w:hint="eastAsia" w:ascii="黑体" w:hAnsi="黑体" w:eastAsia="黑体" w:cs="黑体"/>
          <w:b/>
          <w:bCs/>
          <w:sz w:val="44"/>
          <w:szCs w:val="44"/>
        </w:rPr>
      </w:pPr>
      <w:bookmarkStart w:id="0" w:name="_GoBack"/>
      <w:bookmarkEnd w:id="0"/>
      <w:r>
        <w:rPr>
          <w:rFonts w:hint="eastAsia" w:ascii="黑体" w:hAnsi="黑体" w:eastAsia="黑体" w:cs="黑体"/>
          <w:b/>
          <w:bCs/>
          <w:sz w:val="44"/>
          <w:szCs w:val="44"/>
        </w:rPr>
        <w:t>结算风险控制管理办法</w:t>
      </w:r>
    </w:p>
    <w:p>
      <w:pPr>
        <w:jc w:val="center"/>
        <w:rPr>
          <w:rFonts w:asciiTheme="majorEastAsia" w:hAnsiTheme="majorEastAsia" w:eastAsiaTheme="majorEastAsia" w:cstheme="majorEastAsia"/>
          <w:b/>
          <w:bCs/>
          <w:sz w:val="36"/>
          <w:szCs w:val="36"/>
        </w:rPr>
      </w:pPr>
    </w:p>
    <w:p>
      <w:pPr>
        <w:jc w:val="center"/>
        <w:rPr>
          <w:rFonts w:ascii="黑体" w:hAnsi="黑体" w:eastAsia="黑体" w:cs="黑体"/>
          <w:b/>
          <w:bCs/>
          <w:sz w:val="32"/>
          <w:szCs w:val="32"/>
        </w:rPr>
      </w:pPr>
      <w:r>
        <w:rPr>
          <w:rFonts w:hint="eastAsia" w:ascii="黑体" w:hAnsi="黑体" w:eastAsia="黑体" w:cs="黑体"/>
          <w:b/>
          <w:bCs/>
          <w:sz w:val="32"/>
          <w:szCs w:val="32"/>
        </w:rPr>
        <w:t>第一章  总则</w:t>
      </w:r>
    </w:p>
    <w:p>
      <w:pPr>
        <w:ind w:firstLine="640" w:firstLineChars="200"/>
        <w:rPr>
          <w:rFonts w:ascii="仿宋" w:hAnsi="仿宋" w:eastAsia="仿宋" w:cs="仿宋"/>
          <w:sz w:val="32"/>
          <w:szCs w:val="40"/>
        </w:rPr>
      </w:pPr>
      <w:r>
        <w:rPr>
          <w:rFonts w:hint="eastAsia" w:ascii="仿宋" w:hAnsi="仿宋" w:eastAsia="仿宋" w:cs="仿宋"/>
          <w:sz w:val="32"/>
          <w:szCs w:val="40"/>
        </w:rPr>
        <w:t>第一条  为有效控制在山东铝谷大宗商品交易中心(以下简称“交易中心”）进行的大宗商品交易业务的结算风险，保障市场参与者的合法权益，根据《山东铝谷大宗商品交易中心交易规则》及国家相关法律法规，制定本办法。</w:t>
      </w:r>
    </w:p>
    <w:p>
      <w:pPr>
        <w:ind w:firstLine="640" w:firstLineChars="200"/>
        <w:rPr>
          <w:rFonts w:ascii="仿宋" w:hAnsi="仿宋" w:eastAsia="仿宋" w:cs="仿宋"/>
          <w:sz w:val="32"/>
          <w:szCs w:val="40"/>
        </w:rPr>
      </w:pPr>
      <w:r>
        <w:rPr>
          <w:rFonts w:hint="eastAsia" w:ascii="仿宋" w:hAnsi="仿宋" w:eastAsia="仿宋" w:cs="仿宋"/>
          <w:sz w:val="32"/>
          <w:szCs w:val="40"/>
        </w:rPr>
        <w:t>第二条  交易中心实行账户分户管理制度、资金监管制度和每日核查制度，确保交易资金安全，有效控制结算风险。</w:t>
      </w:r>
    </w:p>
    <w:p>
      <w:pPr>
        <w:ind w:firstLine="640" w:firstLineChars="200"/>
        <w:rPr>
          <w:rFonts w:ascii="仿宋" w:hAnsi="仿宋" w:eastAsia="仿宋" w:cs="仿宋"/>
          <w:sz w:val="32"/>
          <w:szCs w:val="40"/>
        </w:rPr>
      </w:pPr>
      <w:r>
        <w:rPr>
          <w:rFonts w:hint="eastAsia" w:ascii="仿宋" w:hAnsi="仿宋" w:eastAsia="仿宋" w:cs="仿宋"/>
          <w:sz w:val="32"/>
          <w:szCs w:val="40"/>
        </w:rPr>
        <w:t>第三条  交易中心、指定结算银行(以下简称“结算银行”）及相关工作人员对交易商的交易、资金等信息负有保密义务，除国家法律、法规、规章及交易中心另有规定或交易商同意外，不得向第三方透露。</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第四条  交易中心、会员、交易商、结算银行及相关工作人员应遵守本办法。</w:t>
      </w:r>
    </w:p>
    <w:p>
      <w:pPr>
        <w:ind w:firstLine="640" w:firstLineChars="200"/>
        <w:rPr>
          <w:rFonts w:ascii="仿宋" w:hAnsi="仿宋" w:eastAsia="仿宋" w:cs="仿宋"/>
          <w:sz w:val="32"/>
          <w:szCs w:val="40"/>
        </w:rPr>
      </w:pPr>
    </w:p>
    <w:p>
      <w:pPr>
        <w:jc w:val="center"/>
        <w:rPr>
          <w:rFonts w:ascii="黑体" w:hAnsi="黑体" w:eastAsia="黑体" w:cs="黑体"/>
          <w:b/>
          <w:bCs/>
          <w:sz w:val="32"/>
          <w:szCs w:val="32"/>
        </w:rPr>
      </w:pPr>
      <w:r>
        <w:rPr>
          <w:rFonts w:hint="eastAsia" w:ascii="黑体" w:hAnsi="黑体" w:eastAsia="黑体" w:cs="黑体"/>
          <w:b/>
          <w:bCs/>
          <w:sz w:val="32"/>
          <w:szCs w:val="32"/>
        </w:rPr>
        <w:t>第二章  账户分户管理制度</w:t>
      </w:r>
    </w:p>
    <w:p>
      <w:pPr>
        <w:ind w:firstLine="640" w:firstLineChars="200"/>
        <w:rPr>
          <w:rFonts w:ascii="仿宋" w:hAnsi="仿宋" w:eastAsia="仿宋" w:cs="仿宋"/>
          <w:sz w:val="32"/>
          <w:szCs w:val="40"/>
        </w:rPr>
      </w:pPr>
      <w:r>
        <w:rPr>
          <w:rFonts w:hint="eastAsia" w:ascii="仿宋" w:hAnsi="仿宋" w:eastAsia="仿宋" w:cs="仿宋"/>
          <w:sz w:val="32"/>
          <w:szCs w:val="40"/>
        </w:rPr>
        <w:t>第五条  交易中心在结算银行开立客户交易结算资金汇总账户(以下称“专用账户”），用于结算银行集中监管交易商的交易结算资金。结算银行审核交易中心指令并进行符合交易资金监管业务规定的资金划拨，包括交易商存取款、交易清算和支取佣金手续费等。</w:t>
      </w:r>
    </w:p>
    <w:p>
      <w:pPr>
        <w:ind w:firstLine="640" w:firstLineChars="200"/>
        <w:rPr>
          <w:rFonts w:ascii="仿宋" w:hAnsi="仿宋" w:eastAsia="仿宋" w:cs="仿宋"/>
          <w:sz w:val="32"/>
          <w:szCs w:val="40"/>
        </w:rPr>
      </w:pPr>
      <w:r>
        <w:rPr>
          <w:rFonts w:hint="eastAsia" w:ascii="仿宋" w:hAnsi="仿宋" w:eastAsia="仿宋" w:cs="仿宋"/>
          <w:sz w:val="32"/>
          <w:szCs w:val="40"/>
        </w:rPr>
        <w:t>第六条  结算银行为交易商开立银行结算账户，用于银行资金往来结算，并与交易商交易资金账户和客户交易结算资金管理账户建立转账对应关系。</w:t>
      </w:r>
    </w:p>
    <w:p>
      <w:pPr>
        <w:ind w:firstLine="640" w:firstLineChars="200"/>
        <w:rPr>
          <w:rFonts w:ascii="仿宋" w:hAnsi="仿宋" w:eastAsia="仿宋" w:cs="仿宋"/>
          <w:sz w:val="32"/>
          <w:szCs w:val="40"/>
        </w:rPr>
      </w:pPr>
      <w:r>
        <w:rPr>
          <w:rFonts w:hint="eastAsia" w:ascii="仿宋" w:hAnsi="仿宋" w:eastAsia="仿宋" w:cs="仿宋"/>
          <w:sz w:val="32"/>
          <w:szCs w:val="40"/>
        </w:rPr>
        <w:t>第七条  交易中心为交易商开立客户交易资金账户，该账户为专门用于商品交易的资金台账，与交易商在银行开立的客户交易结算资金管理账户一一对应。交易中心通过该账户对交易商的商品买卖交易进行前端控制、清算等。</w:t>
      </w:r>
    </w:p>
    <w:p>
      <w:pPr>
        <w:ind w:firstLine="640" w:firstLineChars="200"/>
        <w:rPr>
          <w:rFonts w:ascii="仿宋" w:hAnsi="仿宋" w:eastAsia="仿宋" w:cs="仿宋"/>
          <w:sz w:val="32"/>
          <w:szCs w:val="40"/>
        </w:rPr>
      </w:pPr>
      <w:r>
        <w:rPr>
          <w:rFonts w:hint="eastAsia" w:ascii="仿宋" w:hAnsi="仿宋" w:eastAsia="仿宋" w:cs="仿宋"/>
          <w:sz w:val="32"/>
          <w:szCs w:val="40"/>
        </w:rPr>
        <w:t>第八条  结算银行为交易商开立客户交易结算资金管理账户，该账户为结算银行专用账户项下为交易商开立的用于管理交易商交易结算资金的虚拟存管专户。客户交易结算资金管理账户记载交易商交易结算资金的变动明细，并与交易商的银行结算账户和客户交易资金账户之间建立银商转账对应关系。</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第九条  交易商如需变更结算银行，应事先向交易中心提出书面申请，经交易中心同意后方可办理注销手续。同时，重新与新选择的银行签订三方协议，办理开户手续后，办理账户间关联关系。</w:t>
      </w:r>
    </w:p>
    <w:p>
      <w:pPr>
        <w:ind w:firstLine="640" w:firstLineChars="200"/>
        <w:rPr>
          <w:rFonts w:ascii="仿宋" w:hAnsi="仿宋" w:eastAsia="仿宋" w:cs="仿宋"/>
          <w:sz w:val="32"/>
          <w:szCs w:val="40"/>
        </w:rPr>
      </w:pPr>
    </w:p>
    <w:p>
      <w:pPr>
        <w:jc w:val="center"/>
        <w:rPr>
          <w:rFonts w:ascii="黑体" w:hAnsi="黑体" w:eastAsia="黑体" w:cs="黑体"/>
          <w:b/>
          <w:bCs/>
          <w:sz w:val="32"/>
          <w:szCs w:val="32"/>
        </w:rPr>
      </w:pPr>
      <w:r>
        <w:rPr>
          <w:rFonts w:hint="eastAsia" w:ascii="黑体" w:hAnsi="黑体" w:eastAsia="黑体" w:cs="黑体"/>
          <w:b/>
          <w:bCs/>
          <w:sz w:val="32"/>
          <w:szCs w:val="32"/>
        </w:rPr>
        <w:t>第三章  资金监管制度</w:t>
      </w:r>
    </w:p>
    <w:p>
      <w:pPr>
        <w:ind w:firstLine="640" w:firstLineChars="200"/>
        <w:rPr>
          <w:rFonts w:ascii="仿宋" w:hAnsi="仿宋" w:eastAsia="仿宋" w:cs="仿宋"/>
          <w:sz w:val="32"/>
          <w:szCs w:val="40"/>
        </w:rPr>
      </w:pPr>
      <w:r>
        <w:rPr>
          <w:rFonts w:hint="eastAsia" w:ascii="仿宋" w:hAnsi="仿宋" w:eastAsia="仿宋" w:cs="仿宋"/>
          <w:sz w:val="32"/>
          <w:szCs w:val="40"/>
        </w:rPr>
        <w:t>第十条  交易中心设专岗管理交易商资金，不得与交易中心自有资金业务混合操作。</w:t>
      </w:r>
    </w:p>
    <w:p>
      <w:pPr>
        <w:ind w:firstLine="640" w:firstLineChars="200"/>
        <w:rPr>
          <w:rFonts w:ascii="仿宋" w:hAnsi="仿宋" w:eastAsia="仿宋" w:cs="仿宋"/>
          <w:sz w:val="32"/>
          <w:szCs w:val="40"/>
        </w:rPr>
      </w:pPr>
      <w:r>
        <w:rPr>
          <w:rFonts w:hint="eastAsia" w:ascii="仿宋" w:hAnsi="仿宋" w:eastAsia="仿宋" w:cs="仿宋"/>
          <w:sz w:val="32"/>
          <w:szCs w:val="40"/>
        </w:rPr>
        <w:t>第十一条  交易中心遵循“交易中心管交易，银行管资金”的原则，与各指定结算银行建立交易商资金第三方存管关系，对交易商资金实行专款专存，确保交易商资金的安全。</w:t>
      </w:r>
    </w:p>
    <w:p>
      <w:pPr>
        <w:ind w:firstLine="640" w:firstLineChars="200"/>
        <w:rPr>
          <w:rFonts w:ascii="仿宋" w:hAnsi="仿宋" w:eastAsia="仿宋" w:cs="仿宋"/>
          <w:sz w:val="32"/>
          <w:szCs w:val="40"/>
        </w:rPr>
      </w:pPr>
      <w:r>
        <w:rPr>
          <w:rFonts w:hint="eastAsia" w:ascii="仿宋" w:hAnsi="仿宋" w:eastAsia="仿宋" w:cs="仿宋"/>
          <w:sz w:val="32"/>
          <w:szCs w:val="40"/>
        </w:rPr>
        <w:t>第十二条  交易商只能在交易中心指定的结算银行中选择其中一家银行作为指定结算银行，交易中心、结算银行、交易商须签订三方协议。</w:t>
      </w:r>
    </w:p>
    <w:p>
      <w:pPr>
        <w:ind w:firstLine="640" w:firstLineChars="200"/>
        <w:rPr>
          <w:rFonts w:ascii="仿宋" w:hAnsi="仿宋" w:eastAsia="仿宋" w:cs="仿宋"/>
          <w:sz w:val="32"/>
          <w:szCs w:val="40"/>
        </w:rPr>
      </w:pPr>
      <w:r>
        <w:rPr>
          <w:rFonts w:hint="eastAsia" w:ascii="仿宋" w:hAnsi="仿宋" w:eastAsia="仿宋" w:cs="仿宋"/>
          <w:sz w:val="32"/>
          <w:szCs w:val="40"/>
        </w:rPr>
        <w:t>第十三条  交易中心不得挪用交易商交易结算资金，除法律、法规另有规定外，交易商交易结算资金只能用于交易商出金、支付交收货款和手续费、不同结算银行间的跨行交收等特定用途。</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第十四条  交易商入金，只能由银行结算账户通过转账系统划入专用账户；交易商出金，只能通过转账系统从专用账户划转至银行结算账户，才能提取。交易商进行出入金操作时，必须输入资金转账密码。</w:t>
      </w:r>
    </w:p>
    <w:p>
      <w:pPr>
        <w:ind w:firstLine="640" w:firstLineChars="200"/>
        <w:rPr>
          <w:rFonts w:ascii="仿宋" w:hAnsi="仿宋" w:eastAsia="仿宋" w:cs="仿宋"/>
          <w:sz w:val="32"/>
          <w:szCs w:val="40"/>
        </w:rPr>
      </w:pPr>
    </w:p>
    <w:p>
      <w:pPr>
        <w:jc w:val="center"/>
        <w:rPr>
          <w:rFonts w:ascii="黑体" w:hAnsi="黑体" w:eastAsia="黑体" w:cs="黑体"/>
          <w:b/>
          <w:bCs/>
          <w:sz w:val="32"/>
          <w:szCs w:val="32"/>
        </w:rPr>
      </w:pPr>
      <w:r>
        <w:rPr>
          <w:rFonts w:hint="eastAsia" w:ascii="黑体" w:hAnsi="黑体" w:eastAsia="黑体" w:cs="黑体"/>
          <w:b/>
          <w:bCs/>
          <w:sz w:val="32"/>
          <w:szCs w:val="32"/>
        </w:rPr>
        <w:t>第四章  核查制度</w:t>
      </w:r>
    </w:p>
    <w:p>
      <w:pPr>
        <w:ind w:firstLine="640" w:firstLineChars="200"/>
        <w:rPr>
          <w:rFonts w:ascii="仿宋" w:hAnsi="仿宋" w:eastAsia="仿宋" w:cs="仿宋"/>
          <w:sz w:val="32"/>
          <w:szCs w:val="40"/>
        </w:rPr>
      </w:pPr>
      <w:r>
        <w:rPr>
          <w:rFonts w:hint="eastAsia" w:ascii="仿宋" w:hAnsi="仿宋" w:eastAsia="仿宋" w:cs="仿宋"/>
          <w:sz w:val="32"/>
          <w:szCs w:val="40"/>
        </w:rPr>
        <w:t>第十五条  交易中心实行每日结算制度。每日收市后，根据交易商的交易结果和交易中心的有关规定，对交易商保证金、手续费、交割货款及其它款项进行计算和划拨。</w:t>
      </w:r>
    </w:p>
    <w:p>
      <w:pPr>
        <w:ind w:firstLine="640" w:firstLineChars="200"/>
        <w:rPr>
          <w:rFonts w:ascii="仿宋" w:hAnsi="仿宋" w:eastAsia="仿宋" w:cs="仿宋"/>
          <w:sz w:val="32"/>
          <w:szCs w:val="40"/>
        </w:rPr>
      </w:pPr>
      <w:r>
        <w:rPr>
          <w:rFonts w:hint="eastAsia" w:ascii="仿宋" w:hAnsi="仿宋" w:eastAsia="仿宋" w:cs="仿宋"/>
          <w:sz w:val="32"/>
          <w:szCs w:val="40"/>
        </w:rPr>
        <w:t>第十六条  结算完成后，交易中心向结算银行发送清算报告，结算银行进行分分对账和总分对账，确保存管账户正确一致。</w:t>
      </w:r>
    </w:p>
    <w:p>
      <w:pPr>
        <w:ind w:firstLine="640" w:firstLineChars="200"/>
        <w:rPr>
          <w:rFonts w:ascii="仿宋" w:hAnsi="仿宋" w:eastAsia="仿宋" w:cs="仿宋"/>
          <w:sz w:val="32"/>
          <w:szCs w:val="40"/>
        </w:rPr>
      </w:pPr>
      <w:r>
        <w:rPr>
          <w:rFonts w:hint="eastAsia" w:ascii="仿宋" w:hAnsi="仿宋" w:eastAsia="仿宋" w:cs="仿宋"/>
          <w:sz w:val="32"/>
          <w:szCs w:val="40"/>
        </w:rPr>
        <w:t>第十七条  交易中心实行每日核查制度。每日日终或次日开市前，核对各专用账户银行存款余额与交易中心交易系统中的存款余额，确保交易商资金安全。</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第十八条  交易中心主管部门可聘请符合条件的会计师事务所，对交易商交易结算资金进行定期或不定期的检查或审计，并出具审计报告。</w:t>
      </w:r>
    </w:p>
    <w:p>
      <w:pPr>
        <w:ind w:firstLine="640" w:firstLineChars="200"/>
        <w:rPr>
          <w:rFonts w:ascii="仿宋" w:hAnsi="仿宋" w:eastAsia="仿宋" w:cs="仿宋"/>
          <w:sz w:val="32"/>
          <w:szCs w:val="40"/>
        </w:rPr>
      </w:pPr>
    </w:p>
    <w:p>
      <w:pPr>
        <w:jc w:val="center"/>
        <w:rPr>
          <w:rFonts w:ascii="黑体" w:hAnsi="黑体" w:eastAsia="黑体" w:cs="黑体"/>
          <w:b/>
          <w:bCs/>
          <w:sz w:val="32"/>
          <w:szCs w:val="32"/>
        </w:rPr>
      </w:pPr>
      <w:r>
        <w:rPr>
          <w:rFonts w:hint="eastAsia" w:ascii="黑体" w:hAnsi="黑体" w:eastAsia="黑体" w:cs="黑体"/>
          <w:b/>
          <w:bCs/>
          <w:sz w:val="32"/>
          <w:szCs w:val="32"/>
        </w:rPr>
        <w:t>第五章  附则</w:t>
      </w:r>
    </w:p>
    <w:p>
      <w:pPr>
        <w:ind w:firstLine="640" w:firstLineChars="200"/>
        <w:rPr>
          <w:rFonts w:ascii="仿宋" w:hAnsi="仿宋" w:eastAsia="仿宋" w:cs="仿宋"/>
          <w:sz w:val="32"/>
          <w:szCs w:val="40"/>
        </w:rPr>
      </w:pPr>
      <w:r>
        <w:rPr>
          <w:rFonts w:hint="eastAsia" w:ascii="仿宋" w:hAnsi="仿宋" w:eastAsia="仿宋" w:cs="仿宋"/>
          <w:sz w:val="32"/>
          <w:szCs w:val="40"/>
        </w:rPr>
        <w:t>第十九条  本办法由山东铝谷大宗商品交易中心负责解释和修订。</w:t>
      </w:r>
    </w:p>
    <w:p>
      <w:pPr>
        <w:ind w:firstLine="640" w:firstLineChars="200"/>
        <w:rPr>
          <w:rFonts w:ascii="仿宋" w:hAnsi="仿宋" w:eastAsia="仿宋" w:cs="仿宋"/>
          <w:sz w:val="32"/>
          <w:szCs w:val="40"/>
        </w:rPr>
      </w:pPr>
      <w:r>
        <w:rPr>
          <w:rFonts w:hint="eastAsia" w:ascii="仿宋" w:hAnsi="仿宋" w:eastAsia="仿宋" w:cs="仿宋"/>
          <w:sz w:val="32"/>
          <w:szCs w:val="40"/>
        </w:rPr>
        <w:t>第二十条  本办法自公布之日起实施。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3EC"/>
    <w:rsid w:val="000221A7"/>
    <w:rsid w:val="001A2A57"/>
    <w:rsid w:val="002D1B44"/>
    <w:rsid w:val="005377DA"/>
    <w:rsid w:val="006E491C"/>
    <w:rsid w:val="007333EC"/>
    <w:rsid w:val="008C12F6"/>
    <w:rsid w:val="008E5731"/>
    <w:rsid w:val="0098200C"/>
    <w:rsid w:val="00AB60C2"/>
    <w:rsid w:val="00B67A93"/>
    <w:rsid w:val="00C12912"/>
    <w:rsid w:val="00C8173B"/>
    <w:rsid w:val="00C86CBF"/>
    <w:rsid w:val="00CE0A1E"/>
    <w:rsid w:val="00F455E0"/>
    <w:rsid w:val="031407A4"/>
    <w:rsid w:val="130D40C7"/>
    <w:rsid w:val="179466AE"/>
    <w:rsid w:val="1F313106"/>
    <w:rsid w:val="2B693F64"/>
    <w:rsid w:val="34F32A90"/>
    <w:rsid w:val="3A280A62"/>
    <w:rsid w:val="4333364A"/>
    <w:rsid w:val="45326863"/>
    <w:rsid w:val="4AC12CBF"/>
    <w:rsid w:val="54513D60"/>
    <w:rsid w:val="54615302"/>
    <w:rsid w:val="5815794B"/>
    <w:rsid w:val="60863CDB"/>
    <w:rsid w:val="782F659E"/>
    <w:rsid w:val="7F1106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0"/>
    <w:rPr>
      <w:kern w:val="2"/>
      <w:sz w:val="18"/>
      <w:szCs w:val="18"/>
    </w:rPr>
  </w:style>
  <w:style w:type="character" w:customStyle="1" w:styleId="8">
    <w:name w:val="页脚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1463</Words>
  <Characters>83</Characters>
  <Lines>1</Lines>
  <Paragraphs>3</Paragraphs>
  <ScaleCrop>false</ScaleCrop>
  <LinksUpToDate>false</LinksUpToDate>
  <CharactersWithSpaces>1543</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js</dc:creator>
  <cp:lastModifiedBy>Administrator</cp:lastModifiedBy>
  <dcterms:modified xsi:type="dcterms:W3CDTF">2017-10-12T12:34:56Z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